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PS.2004.0257 vom 26. April 2005</w:t>
      </w:r>
    </w:p>
    <w:p>
      <w:r>
        <w:t>VD Tribunal cantonal, 2005-04-26, FR</w:t>
      </w:r>
    </w:p>
    <w:p>
      <w:r>
        <w:rPr>
          <w:b/>
        </w:rPr>
        <w:t xml:space="preserve">Quelle: </w:t>
      </w:r>
      <w:r>
        <w:t>https://mcp.opencaselaw.ch/entscheid/vd_omni_PS.2004.0257</w:t>
      </w:r>
    </w:p>
    <w:p>
      <w:r>
        <w:t>FR: VD_OMNI PS.2004.0257 du 26 avril 2005</w:t>
      </w:r>
    </w:p>
    <w:p>
      <w:r>
        <w:t>IT: VD_OMNI PS.2004.0257 del 26 aprile 2005</w:t>
      </w:r>
    </w:p>
    <w:p>
      <w:pPr>
        <w:pStyle w:val="Heading2"/>
      </w:pPr>
      <w:r>
        <w:t>Regeste</w:t>
      </w:r>
    </w:p>
    <w:p>
      <w:r>
        <w:t>A.A.________, B.________, C.A.________, D. A/Service de prévoyance et d'aide sociales, Centre social régional de Lausanne | Interrompt le délai de prescription de l'art. 27 LPAS, tout acte de l'autorité tendant à faire valoir sa créance en remboursement de l'aide socaile, ainsi déjà une invitation à payer adressée à l'un des héritiers.</w:t>
      </w:r>
    </w:p>
    <w:p>
      <w:pPr>
        <w:pStyle w:val="Heading2"/>
      </w:pPr>
      <w:r>
        <w:t>Erwägungen</w:t>
      </w:r>
    </w:p>
    <w:p>
      <w:r>
        <w:rPr>
          <w:b/>
        </w:rPr>
        <w:t>E. 1</w:t>
      </w:r>
    </w:p>
    <w:p>
      <w:r>
        <w:t>L'art. 25 de la loi du 25 mai 1977 sur la prévoyance et l'aide sociales (LPAS) dispose que les personnes qui ont bénéficié de l'aide sociale sont tenues de la rembourser dans la mesure où leur situation financière ne risque pas d'être compromise par ce remboursement; l'alinéa 2 de cette disposition prescrit que les héritiers de la personne aidée ont la même obligation, pour autant qu'ils tirent profit de la succession. L'art. 26 LPAS prévoit que c'est par voie de décision que le département de la santé et de l'action sociales réclame, au bénéficiaire ou à sa succession, le remboursement de toutes les prestations, la décision en force étant assimilée à un jugement exécutoire. L'art. 27 LPAS dispose quant à lui que l'obligation de rembourser se prescrit par dix ans à compter du jour où la dernière prestation d'aide sociale a été versée, respectivement que l'obligation de remboursement se prescrit, à l'égard des héritiers de la personne aidée, une année après l'addition d'hérédité, les art. 127 à 142 du Code des obligations (CO) étant au surplus applicables par analogie. En l'espèce, les héritiers de feu E. A.________se bornent à soutenir que cette prescription d'une année à compter de l'addition d'hérédité est acquise, situant le point de départ de ce délai au 8 octobre 2003, soit au jour de la délivrance du certificat d'héritier par le juge de paix. 2.                a) D'entrée, il convient de relever que le terme "adition d'hérédité" - que la doctrine définit comme étant l'acceptation de la succession par l'héritier - est inconnu du droit successoral suisse. Contrairement à d'autres ordres juridiques, le droit suisse ne subordonne en effet la transmission du patrimoine du défunt à l'héritier à aucune acceptation. L'acquisition de la succession par les héritiers intervient ainsi de plein droit lors du décès (art. 560 CC), à moins que l'héritier ne la mette à néant par l'exercice du droit formateur que constitue la répudiation, ceci dans un certain délai (art. 567, 568 et 587 CC). En d'autres termes, l'héritier ne peut accepter une succession qui lui est non seulement offerte, mais déjà acquise: il ne peut que renoncer à la répudier (Piotet, Droit successoral, in Traité de droit privé suisse, vol. IV, p. 508 ss et 528 ss). Les travaux préparatoires de la loi ne renseignant pas sur ce qu'il faut comprendre par "adition d'hérédité", une interprétation littérale de l'art. 27 LPAS ne s'avère dès lors pas possible. L'interprétation téléologique qui s'impose en conséquence conduit donc à comprendre "l'adition d'hérédité" dans une acception conforme au droit successoral suisse, soit comme la renonciation de l'héritier à répudier. Le point de départ du délai de prescription (dies a quo) de l'art. 27 LPAS sera dès lors la date correspondant à l'échéance du délai de répudiation, au plus tard, à moins que l'hériter ne renonce formellement à répudier avant cette échéance, comme le droit vaudois l'y autorise (art. 540 ss CPC), auquel cas la date déterminante sera celle à laquelle l'héritier aura manifesté au juge de paix sa volonté de ne pas répudier. b) Cela étant, lorsqu'un inventaire civil de la succession doit être dressé, comme ce fut en l'occurrence le cas compte tenu du fait qu'un des héritiers était mineur (art. 553 al. 1 er CC et 525 ss CPC), les art. 568 CC et 528 CPC disposent que le délai de répudiation de trois mois de l'art. 567 CC ne court qu'à compter du jour de la clôture de cet inventaire. En l'occurrence, ce dernier a été clos le 30 juin 2003 de sorte que le dies a quo est intervenu au plus tôt à cette dernière date et au plus tard trois mois plus tard, soit au 30 août 2003. Le dossier constitué ne renseignant pas sur une éventuelle renonciation anticipée des héritiers à la répudiation, subsiste une incertitude quant à la date précise du dies a quo. Cette incertitude est toutefois sans incidence sur la solution du litige, comme on l'exposera ci-dessous. 3.                a) L'art. 27 LPAS renvoyant à l'application par analogie des art. 127 ss CO relatifs à la prescription, l'on en conclut tout d'abord qu'il s'agit bien en l'occurrence d'un délai de prescription qui, contrairement au délai dit de péremption, peut être interrompu. En droit public, l'on admet que la prescription est non seulement interrompue par les actes énumérés de manière exhaustive à l'art. 135 CO - soit une reconnaissance de la dette par le débiteur (al. 1 er ), ou un acte de poursuite ou d'ouverture d'action émanant du créancier (al. 2) - mais également par tous ceux au moyen desquels le créancier fait valoir sa prétention de manière appropriée (André Grisel, Traité de droit administratif, Neuchâtel 1984, p. 666; ATF 87 I 414), solution à laquelle l'on a du reste largement recours dans le domaine fiscal (ATF du 2 octobre 2003 dans la cause 2P.278/2002 et 2A.572/2002, consid. 6.3, et les références citées). En particulier, toute mesure d'instruction de nature à établir la créance de l'Etat constitue, dans cette optique, un motif d'interruption du délai de prescription, le Tribunal fédéral ayant même admis que la communication officielle annonçant simplement une taxation à venir emportait un effet interruptif, fut-elle effectuée dans le seul but d'interrompre la prescription (ATF 126 II 1). b) En l'espèce, l'on ne saurait suivre l'autorité intimée lorsqu'elle soutient que sa lettre du 29 octobre 2002, même doublée d'une intervention formelle auprès de la justice de paix, devait être considérée comme une décision administrative. Par cette correspondance, seule une invitation à payer a été adressée à l'un des membres de la succession; elle n'avait pas la forme d'une décision, n'était pas désignée comme telle et ne mentionnait pas la voie et le délai de recours. Ce constat est d'ailleurs corroboré par le fait que la même autorité a rendu ultérieurement la décision attaquée. Cette demande de remboursement constituait cependant un acte par lequel l'autorité faisait valoir sa prétention de manière appropriée, au sens de la jurisprudence précitée, de sorte qu'elle avait la valeur d'un acte interruptif. Elle a été réitérée sans ambiguïté le 1 er décembre 2003 par un acte de même nature. Cet acte étant intervenu avant l'échéance du délai de prescription d'une année - dont il importe peu que le dies a quo soit fixé, comme exposé au considérant 2b ci-dessus, au 30 juin 2003 ou au 30 août 2003 -, il a donc valablement interrompu la prescription et marqué le point de départ d'un nouveau délai échéant au 1 er décembre 2004, conformément à l'art. 137 CO. Ainsi, notifiée le 25 octobre 2004, la décision dont est recours est-elle intervenue avant l'échéance de ce nouveau délai. Les recourants soutiennent donc à tort que la prescription de l'obligation de rembourser était acquise. c) Cela étant, force est de constater que, à la lettre de la loi, la créance litigieuse est fondée dans son principe. Elle l'est également dans sa quotité, l'autorité intimée ayant produit un décompte et une facture de l'institution "Les Oliviers" propres à en justifier le montant. La décision attaquée doit dès lors être confirmée et le recours rejeté en conséquence, sans frais (art. 15 al. 2 RPAS) et sans que les recourants déboutés puissent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