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PS.2004.0250 vom 7. Februar 2008</w:t>
      </w:r>
    </w:p>
    <w:p>
      <w:r>
        <w:t>VD Tribunal cantonal, 2008-02-07, FR</w:t>
      </w:r>
    </w:p>
    <w:p>
      <w:r>
        <w:rPr>
          <w:b/>
        </w:rPr>
        <w:t xml:space="preserve">Quelle: </w:t>
      </w:r>
      <w:r>
        <w:t>https://mcp.opencaselaw.ch/entscheid/vd_omni_PS.2004.0250</w:t>
      </w:r>
    </w:p>
    <w:p>
      <w:r>
        <w:t>FR: VD_OMNI PS.2004.0250 du 7 février 2008</w:t>
      </w:r>
    </w:p>
    <w:p>
      <w:r>
        <w:t>IT: VD_OMNI PS.2004.0250 del 7 febbraio 2008</w:t>
      </w:r>
    </w:p>
    <w:p>
      <w:pPr>
        <w:pStyle w:val="Heading2"/>
      </w:pPr>
      <w:r>
        <w:t>Regeste</w:t>
      </w:r>
    </w:p>
    <w:p>
      <w:r>
        <w:t>X. /Service de l'emploi, Caisse cantonale de chômage, Office régional de placement de Lausanne | Il est établi au degré de preuve de la vraisemblance prépondérante que le recourant a eu un comportement fautif qui a contribué à son licenciement, notamment en ne respectant pas les instructions de son employeur. Le fait que les parties aient conclu une transaction devant le juge civil n'est pas déterminant. Confirmation de la suspension du droit à l'indemnité.</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Le droit de l'assuré à l'indemnité est suspendu lorsqu'il est établi que celui-ci est sans travail par sa propre faute (art. 30 al. 1 let. a de la loi du 25 juin 1982 sur l'assurance-chômage obligatoire et l'indemnité en cas d'insolvabilité [LACI; RS 837.0]). Est notamment réputé sans travail par sa propre faute l'assuré qui par son comportement, en particulier par la violation de ses obligations contractuelles de travail, a donné à son employeur un motif de résiliation du contrat de travail (art. 44 al. 1 let. a de l'ordonnance sur l'assurance-chômage obligatoire et l'indemnité en cas d'insolvabilité du 31 août 1983 [OACI; RS 837.02]). La durée de la suspension est proportionnelle à la gravité de la faute mais ne peut excéder soixante jours (art. 30 al. 3 LACI). Elle est de 1 à 15 jours en cas de faute légère, de 16 à 30 jours en cas de faute de gravité moyenne, et de 31 à 60 jours en cas de faute grave (art. 45 al. 2 OACI). Une faute au sens de la législation sur l'assurance-chômage ne suppose pas nécessairement, comme en droit pénal et en droit civil, qu'on puisse reprocher à l'assuré un comportement répréhensible; elle peut être réalisée sitôt que la survenance du chômage n'est pas à mettre au compte de facteurs objectifs, mais réside dans un comportement que l'assuré pouvait éviter au vu des circonstances et des relations personnelles en cause ( Tribunal administratif, arrêt PS.2004.0117 du 29 octobre 2004 et les références citées) . Ainsi, la suspension dans l'exercice du droit à l'indemnité ne suppose pas une résiliation immédiate des rapports de travail pour de justes motifs au sens de l'art. 337 CO et il suffit que le comportement général de l'assuré (y compris les particularités de son caractère au sens large du terme) ait donné lieu à son congédiement, même sans que ses qualités professionnelles soient mises en cause (ATF 112 V 245, v. Circulaire du SECO relative à l'indemnité de chômage IC 2007, D 17 et 21). La faute de l'assuré doit toutefois être clairement établie; les seules affirmations de l'employeur ne suffisent pas à établir une faute contestée par l'assuré et non confirmée par d'autres preuves ou indices de nature à convaincre l'administration ou le juge, tel un avertissement écrit de l'employeur (FF 1980 III 593; Gerhards, Kommentar zum Arbeitslosenversicherungs-gesetz, n. 11 ad art. 30 LACI; Circulaire IC 2007, D 20; TA, arrêts PS.2005.0014 du 16 mars 2006; PS.2006.0101 du 15 septembre 2006 consid. 1 et références citées). En cas de licenciement par l'employeur, commet une faute celui qui, contrairement à ce qu'aurait fait tout travailleur raisonnable dans la même situation et les mêmes circonstances, a, par son comportement, donné lieu à la résiliation prévisible du contrat de travail (Charles Munoz, La fin du contrat individuel de travail et le droit aux indemnités de l'assurance-chômage, thèse Lausanne 1992, p. 168). Il convient encore de préciser que, dans le domaine particulier des assurances sociales, le juge doit, pour autant que la loi n'en dispose pas autrement, rendre son arrêt suivant le principe probatoire de la vraisemblance prépondérante, principe selon lequel la simple possibilité d'un état de fait donné ne suffit pas à satisfaire aux exigences de preuves, le juge devant plutôt s'en tenir à la présentation des faits qu'il considère comme la plus vraisemblable parmi toutes les possibilités du cours des évènements (ATF 125 V 193, 195; 121 V 45, 47).</w:t>
      </w:r>
    </w:p>
    <w:p>
      <w:r>
        <w:rPr>
          <w:b/>
        </w:rPr>
        <w:t>E. 3</w:t>
      </w:r>
    </w:p>
    <w:p>
      <w:r>
        <w:t>a) En l'espèce, la Y.________ ne semble pas remettre en cause les compétences professionnelles du recourant. Il lui est en revanche reproché de ne pas s'être conformé aux instructions de sa hiérarchie et plus particulièrement à celles du chef du service informatique M. Z.________, ce qui aurait finalement entraîné une rupture du lien de confiance. De manière plus générale, il est reproché au recourant d'avoir, par son comportement, contribué à la détérioration de l'ambiance au sein du service informatique. Ce dernier conteste ces reproches en faisant valoir notamment qu'il a été confronté aux critiques incessantes et à l'incompétence de M. Z.________. Il prétend ainsi qu'il a dû effectuer de nombreuses tâches qui auraient dû incomber à son chef. Il souligne également que, contrairement à M. Z.________, il avait l'estime de ses collègues et que ceux-ci avaient pris l'habitude de s'adresser à lui plutôt qu'à M. Z.________ pour résoudre leurs problèmes informatiques. Il soutient également que ses conditions de travail se sont péjorées à l'automne 2000 avec l'arrivée d'un nouveau collaborateur, ce qui a progressivement entraîné sa mise à l'écart. b) Il ressort effectivement du dossier que la résiliation du contrat de travail est intervenue essentiellement en raison d'un conflit entre le recourant et le chef du service informatique, qui a apparemment surgi peu après son engagement en 1991 et semble s'être aggravé dans les années 2000, suite notamment à l'engagement de deux nouveaux collaborateurs dans le service informatique à l'automne 2000. Même si la qualité du travail du recourant et son engagement envers son employeur ne sont, pour l'essentiel, pas en cause, on note que le recourant a été formellement mis en garde à plusieurs reprises au sujet de son attitude vis à vis de son supérieur hiérarchique et de la nécessité de respecter ses instructions. Dès 1995, figure ainsi dans l'évaluation annuelle du recourant l'objectif consistant à "faire ce qu'on lui demande" et écouter les instructions de son supérieur. Dans un mémo du 15 novembre 1998, ce dernier a notamment attiré l'attention du recourant sur la nécessité de respecter les instructions relatives aux horaires de travail. Par la suite, dans un courriel de son supérieur hiérarchique du 26 février 2002, le recourant a été sérieusement mis en garde en raison de son incapacité à suivre les instructions qui lui étaient données. A cet égard, il était notamment relevé ce qui suit "Monsieur, vous ne faites pas ce que l'on vous dit de faire, mais vous faites ce que l'on vous dit de ne pas faire! Malgré une marche à suivre détaillée contenant exactement ce que vous devez faire, marche à suivre que nous avons discuté ensemble avec M. A.________, vous vous obstinez à continuer de développer vos propres routines, allant à l'encontre de mes instructions" .  Le recourant a apparemment été averti oralement au mois de décembre 2002 et aucune augmentation de salaire ne lui a été octroyée pour 2003. Dans un courrier adressé au recourant le 17 janvier 2003, Jean-Pierre Z.________ et le fondé de pouvoirs principal B.________ relevaient que, une année après avoir eu des entretiens avec eux-mêmes et ses collègues de service, les problèmes relationnels du recourant étaient toujours présents et s'étaient même amplifiés. Il lui était ainsi demandé de modifier radicalement son comportement en respectant le chef de service, son autorité et la hiérarchie décrite par l'organigramme de la banque et en restant à sa place conformément aux descriptions de son poste. Un avertissement lui était par conséquent formellement adressé, le recourant étant invité à modifier radicalement et sans délai son comportement. Il était enfin précisé que tout nouveau manquement avéré pouvait entraîner la fin des rapports de travail. Dans le rapport relatif à l'entretien d'appréciation des prestations et des objectifs 2003, il était encore précisé sous, "points d'amélioration et/ou points faibles" que le recourant devait exécuter les ordres de son chef, accepter l'avis des autres s'il était différent du sien et améliorer la coopération avec son collègue C.________. c) Vu ce qui précède, on constate que des problèmes liés au respect des instructions et de son supérieur hiérarchique se sont posés de manière récurrente et que le recourant a été mis en garde à plusieurs reprises. Même si seul le courrier du 17 janvier 2003 peut être considéré comme un avertissement formel, il est établi au degré de preuve de la vraisemblance prépondérante que, notamment en refusant de modifier son attitude vis à vis de son supérieur hiérarchique, et ceci quand bien même M. Z.________ a probablement une part de responsabilités de la détérioration de la situation, le recourant a adopté un comportement qui a finalement contraint son employeur à le licencier. On note à cet égard que, postérieurement à l'avertissement du 17 janvier 2003, des tensions sont à nouveau apparues entre le recourant et M. Z.________ (voir notamment pièces 129 et 130 du bordereau de pièces déposées par la Y.________ devant le Tribunal d'arrondissement de Lausanne). De manière générale, on constate que le recourant n'a pas respecté l'art. 321 d al. 2 CO, qui stipule que le travailleur doit observer selon les règles de la bonne foi les directives générales de l'employeur et les instructions particulières qui lui ont été données. On se trouve ainsi dans l'hypothèse visée par l'art. 44 al. 1 let. a OACI d'un assuré qui, par son comportement, en particulier par la violation de ses obligations contractuelles de travail, a donné à son employeur un motif de résiliation du contrat de travail. C'est par conséquent à juste titre que, sur le principe, une suspension du droit à l'indemnité a été prononcée. Tout bien considéré, le fait d'avoir retenu une faute de gravité moyenne (passible d'une suspension de 16 à 30 jours selon l'art. 45 al. 2 OACI) ne prête au surplus pas flanc à la critique. Le tribunal relèvera encore que, dans son appréciation, il n'a pas pris en compte la transaction intervenue le 25 juin 2007 devant le Tribunal civil de l'arrondissement de Lausanne. On note à cet égard qu'il résulte de la demande déposée le 27 février 2004 par devant le Tribunal d'arrondissement de Lausanne que les prétentions du recourant s'élevaient à 122'716 fr., soit 52'716 fr. qui correspondaient à une pleine indemnité pour licenciement abusif et 70'000 fr. au minimum au titre d'une rétribution spéciale pour l'invention invoquée par le recourant. Comme, dans la transaction, un montant forfaitaire de 25'000 fr. a finalement été octroyé au demandeur, cette transaction ne peut pas être interprétée comme une reconnaissance par la banque de tout ou partie des faits qui lui son reprochés, faits dont on pourrait éventuellement déduire que le recourant n'a pas provoqué fautivement son licenciement. Le tribunal s'en tiendra par conséquent aux faits qui ressortent des pièces du dossier.</w:t>
      </w:r>
    </w:p>
    <w:p>
      <w:r>
        <w:rPr>
          <w:b/>
        </w:rPr>
        <w:t>E. 4</w:t>
      </w:r>
    </w:p>
    <w:p>
      <w:r>
        <w:t>Il résulte des considérants qui précèdent que le recours doit être rejeté et la décision attaquée confirmée. Conformément à l'art. 61 let. a LPGA, le présent arrêt sera rendu sans frais et le recourant, lequel était assisté d'un conseil professionnel, n'a donc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