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PS.2004.0198 vom 26. November 2004</w:t>
      </w:r>
    </w:p>
    <w:p>
      <w:r>
        <w:t>VD Tribunal cantonal, 2004-11-26, FR</w:t>
      </w:r>
    </w:p>
    <w:p>
      <w:r>
        <w:rPr>
          <w:b/>
        </w:rPr>
        <w:t xml:space="preserve">Quelle: </w:t>
      </w:r>
      <w:r>
        <w:t>https://mcp.opencaselaw.ch/entscheid/vd_omni_PS.2004.0198</w:t>
      </w:r>
    </w:p>
    <w:p>
      <w:r>
        <w:t>FR: VD_OMNI PS.2004.0198 du 26 novembre 2004</w:t>
      </w:r>
    </w:p>
    <w:p>
      <w:r>
        <w:t>IT: VD_OMNI PS.2004.0198 del 26 novembre 2004</w:t>
      </w:r>
    </w:p>
    <w:p>
      <w:pPr>
        <w:pStyle w:val="Heading2"/>
      </w:pPr>
      <w:r>
        <w:t>Regeste</w:t>
      </w:r>
    </w:p>
    <w:p>
      <w:r>
        <w:t>x/Centre social d'intégration des réfugiés (CSIR) | L'aide sociale ne peut pas être supprimée au motif que le bénéficiaire ne donne pas suite à des demandes de renseignements, si celles-ci ne respectent pas le principe de la proportionnalité.</w:t>
      </w:r>
    </w:p>
    <w:p>
      <w:pPr>
        <w:pStyle w:val="Heading2"/>
      </w:pPr>
      <w:r>
        <w:t>Erwägungen</w:t>
      </w:r>
    </w:p>
    <w:p>
      <w:r>
        <w:rPr>
          <w:b/>
        </w:rPr>
        <w:t>E. 1</w:t>
      </w:r>
    </w:p>
    <w:p>
      <w:r>
        <w:t>Après avoir supprimé l'aide sociale en faveur du recourant le 1 er juillet 2004, l'autorité intimée a été sollicitée par celui-ci de lui allouer néanmoins cette aide. Alors même que sa décision n'était pas encore entrée en force, elle a ainsi été saisie d'une demande de réexamen, sur laquelle elle est entrée en matière; elle a en effet demandé divers renseignements au recourant, considérant qu'ils étaient susceptibles de modifier son point de vue au sujet du droit de l'intéressé à l'aide sociale. Après avoir recueilli  certains de ces éléments de fait, notamment des décomptes bancaires éclairant la situation financière du recourant et des explications de celui-ci au sujet de son emploi du temps, elle a jugé qu'ils ne justifiaient pas de revenir sur sa décision de suppression de l'aide sociale. Sa lettre du 8 septembre 2004 exprimant ce point de vue a ainsi constitué une décision de refus de réexamen, que le recourant a pu attaquer par acte du 23 septembre suivant.</w:t>
      </w:r>
    </w:p>
    <w:p>
      <w:r>
        <w:rPr>
          <w:b/>
        </w:rPr>
        <w:t>E. 2</w:t>
      </w:r>
    </w:p>
    <w:p>
      <w:r>
        <w:t>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w:t>
      </w:r>
    </w:p>
    <w:p>
      <w:r>
        <w:rPr>
          <w:b/>
        </w:rPr>
        <w:t>E. 3</w:t>
      </w:r>
    </w:p>
    <w:p>
      <w:r>
        <w:t>En l'espèce, l'autorité intimée n'établit pas que le recourant disposerait de ressources lui permettant d'assumer ses besoins. Elle ne démontre pas non plus que le recourant aurait refusé de lui fournir des informations, de sorte que, conformément à la jurisprudence, elle aurait pu en déduire qu'il n'établissait pas son besoin d'aide (Tribunal administratif, arrêt du 10 septembre 2003 dans la cause PS 2003/0145). Le recourant a fourni en effet à sa demande diverses pièces et renseignements qui, s'ils ne correspondent pas entièrement à ce qui était requis, ne permettent pas de dresser le constat d'un refus de collaborer. Alors qu'il ne maîtrise pas le français, le recourant s'est vu réclamer par courrier un grand nombre de pièces et des explications à divers sujets, notamment sur des faits anciens, de sorte qu'il a pu ne pas être en mesure de satisfaire entièrement l'autorité intimée. A tout le moins celle-ci ne désigne-t-elle pas tel élément important qui ferait défaut dans les réponses de l'intéressé et dont l'absence justifierait la mesure dont il est l'objet. A cela s'ajoute que certaines requêtes de l'autorité intimée s'avèrent incompatibles avec l'exigence de proportionnalité qui s'applique aux mesures d'instruction, celles-ci ne s'imposant que dans la mesure du but à atteindre. Est ainsi inappropriée la demande faite au recourant de produire les "documents attestant de toutes les aides financières ou en nature reçues depuis le 01.12.2002, avec spécification des montants, des mois concernés et de l'usage qui en a été fait" (lettre de l'autorité intimée du 23 juillet 2004), tant il est vrai qu'il est quasi impossible d'y donner suite et que son intérêt n'est guère patent. Apparaît de même excessive l'exigence de produire des pièces justificatives relatives à l'inscription parvenue il a plus d'une année auprès d'entreprises de travail temporaire, puisque cela n'a guère d'incidence sur la situation actuelle de l'intéressé. On ne voit pas non plus en quoi cette situation serait touchée par le versement d'un montant en dollars à un tiers effectué en février 2003, qui a pourtant fait l'objet d'une demande de renseignements et de production de pièces par l'autorité intimée. Quant au fait que, selon l'autorité intimée, le recourant l'aurait menacée à réitérées reprises de dissimuler des ressources si des "frais circonstanciels" ne lui étaient pas octroyés (cf. décision du 1 er juillet 2004 et réponse au présent recours du 13 octobre 2004), on ne voit pas quelle portée lui attribuer. D'une part, une telle menace n'est pas établie, pas plus d'ailleurs que ne l'est l'incitation à ne pas recourir dont le recourant prétend qu'il a été l'objet, d'autre part elle ne saurait en elle-même, pour autant qu'elle ait pu être proférée, avoir un effet sur le besoin d'aide du recourant, seule l'existence des ressources en cause ayant cette faculté. Enfin, si  une telle déclaration éventuelle pouvait être tenue pour inadéquate, elle n'en constituerait pas pour autant un manquement tels un refus de renseigner ou une dissimulation effective de ressources. Cela étant, la production de diverses pièces et la fourniture de renseignements par le recourant ont constitué des faits nouveaux qui devaient conduire l'autorité intimée à réexaminer sa décision. Elle ne pouvait plus en effet tirer argument d'un refus d'informer pour nier le droit à l'aide sociale. La décision attaquée sera dès lors annulée avec renvoi à l'autorité intimée. Celle-ci poursuivra le paiement de l'aide sociale au recourant, tout en contrôlant sa situation financière actuelle et ses efforts pour trouver un emploi. Elle ne fera porter ses investigations que sur des éléments déterminants pour fixer le droit à l'aide, ainsi le revenu ou l'activité actuels, et s'abstiendra d'enquêter au sujet de circonstances sans portée pour l'octroi du droit, ainsi l'annonce auprès d'employeurs potentiels une année auparavant ou l'usage qui a été fait de l'aide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