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PS.2004.0175 vom 20. Dezember 2004</w:t>
      </w:r>
    </w:p>
    <w:p>
      <w:r>
        <w:t>VD Tribunal cantonal, 2004-12-20, FR</w:t>
      </w:r>
    </w:p>
    <w:p>
      <w:r>
        <w:rPr>
          <w:b/>
        </w:rPr>
        <w:t xml:space="preserve">Quelle: </w:t>
      </w:r>
      <w:r>
        <w:t>https://mcp.opencaselaw.ch/entscheid/vd_omni_PS.2004.0175</w:t>
      </w:r>
    </w:p>
    <w:p>
      <w:r>
        <w:t>FR: VD_OMNI PS.2004.0175 du 20 décembre 2004</w:t>
      </w:r>
    </w:p>
    <w:p>
      <w:r>
        <w:t>IT: VD_OMNI PS.2004.0175 del 20 dicembre 2004</w:t>
      </w:r>
    </w:p>
    <w:p>
      <w:pPr>
        <w:pStyle w:val="Heading2"/>
      </w:pPr>
      <w:r>
        <w:t>Regeste</w:t>
      </w:r>
    </w:p>
    <w:p>
      <w:r>
        <w:t>C/Centre social intercommunal de Vevey, Service de prévoyance et d'aide sociales | Rappel des principes généraux fondant le droit à l'aide sociale. Le montant de l'aide sociale est fixé sur la base de normes (ordonnances administratives). La couverture des besoins fondamentaux englobe toutes les dépenses courantes nécessaires à l'entretien d'un ménage (forfaits 1 et 2, loyer, frais de santé remboursés par l'assurance-maladie obligatoire et, cas échéant, frais circonstanciels). S'agissant du remboursement des charges de loyer, les directives prévoyent qu'il peut être imputé sur le montant versé au titre forfait 1 ou faire l'objet d'un versement complémentaire. La distinction doit être recherchée à la lumière des principes régissant le droit du bail à loyer. En l'espèce, le recourant n'a pas démontré la nécessité d'une prise en charge supérieure à celle prévue dans les barèmes ordinaires. Recours rejeté.</w:t>
      </w:r>
    </w:p>
    <w:p>
      <w:pPr>
        <w:pStyle w:val="Heading2"/>
      </w:pPr>
      <w:r>
        <w:t>Erwägungen</w:t>
      </w:r>
    </w:p>
    <w:p>
      <w:r>
        <w:rPr>
          <w:b/>
        </w:rPr>
        <w:t>E. 14</w:t>
      </w:r>
    </w:p>
    <w:p>
      <w:r>
        <w:t>avril 2003, Berne 2004, pp. 110-112 et les références citées). L'art. 3 LPAS dispose que l'aide sociale a pour but de venir en aide aux personnes ayant des difficultés sociales, notamment par des prestations financières. Ces  prestations sont subsidiaires par rapport aux autres prestations sociales fédérales ou cantonales et à celles des assurances sociales.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sont allouées dans les cas et dans les limites prévues par le Département de la prévoyance sociale et des assurances (DPSA), selon les dispositions d'application de la loi (art. 21 LPAS). c) Le montant de l'aide sociale est fixé sur la base des normes établies par le Département; si l'organe communal juge équitable de s'écarter de ces normes, il doit obtenir l'accord du Département (art. 11 RPAS). Le  Service  de  prévoyance  et  d'aide sociales a  établi  un  "Recueil d'application de l'aide sociale vaudoise 2004" (ci-après le Recueil), qui contient un "barème des normes ASV 2004" (ci-après  le  barème).  Ces normes ont pour but de favoriser dans toute la mesure du possible l'égalité de traitement entre bénéficiaires en harmonisant la pratique dans le canton (Recueil ch. II-1.1). aa) Les normes juridiques laissent souvent, au profit de l'autorité d'application, une certaine liberté d'appréciation ou une certaine latitude de jugement. La pratique  établira comment  et dans quel sens ces pouvoirs sont exercés. L'autorité supérieure ou l'autorité d'application peut alors estimer judicieux de fixer des règles, à l'intérieur du cadre légal, qui préciseront, détailleront et fixeront les pouvoirs conférés. Il s'agit en quelque sorte  d'une codification de la pratique, qui interprétera les concepts juridiques indéterminés et orientera l'exercice de la liberté d'appréciation. Ces règles sont contenues dans des directives, des circulaires ou instructions, que  l'on désigne habituellement sous le terme d'ordonnances administratives (P. Moor, Droit administratif, vol I, Berne 1994, n° 3.3.5., pp. 264 ss). Ne constituant  pas  une  règle de droit, l'ordonnance administrative ne lie pas le juge. Il pourra s'en écarter si l'interprétation qu'elle donne n'est pas conforme à la loi ou à des principes généraux ou encore si elle a pour effet de supprimer la liberté d'appréciation  que laisse la norme. En revanche, il est admis qu'elle institue des présomptions par généralisation, lorsque l'individualisation dans chaque cas entraînerait un travail excessif. L'intéressé garde néanmoins la possibilité d'apporter la preuve contraire (P. Moor, op. cit. n° 3.3.5.4., p. 271). bb) Le CSR (ainsi que les autres autorités d'application) ont la compétence d'allouer les aides dans les limites des normes établies par le Département.  Il  lui  est possible d'octroyer des montants dépassant les limites des normes pour autant qu'il demeure dans la marge d'appréciation définie dans le Recueil. Lorsqu'un cas particulier se présente, les instances d'application jouissent ainsi d'un pouvoir d'appréciation qui leur permet de s'écarter de la norme. La limite financière supérieure de cette faculté d'appréciation est précisée dans les chapitres concernés. Pour les aides financières dépassant nettement la limite supérieure admise et  pour les aides exceptionnelles ou extraordinaires, l'accord du Département doit être requis (Recueil ch. II-1.1 et II-1.2). cc) La couverture des besoins fondamentaux englobe toutes les dépenses courantes nécessaires à l'entretien d'un ménage. aaa) Elle comprend un forfait pour l'entretien, les frais de logement et les frais médicaux (Recueil ch. II-3-2). Le forfait pour l'entretien est valable pour toute personne dans le besoin vivant à domicile et tenant son ménage. Il doit permettre de couvrir les postes de dépenses suivants (Recueil ch. II-3.3): "- Nourriture, boissons et tabac. -  Vêtements et chaussures. -  Consommation d'énergie (électricité, gaz, etc.) sans les charges liées au loyer. - Nettoyage/entretien de l'appartement et des vêtements (y compris la taxe pour ordures). - Achats de menus articles courants. -  Frais de santé, médicaments non couverts par la LAMal. -  Frais de transport y compris abonnement demi-tarif des CFF(transports publics     locaux, entretien vélo/vélomoteur). -  Communications à distance (téléphone, frais postaux). -  Loisirs (par ex. concession radio/TV, jeux, journaux, livres, frais de scolarité, cinéma, animaux domestiques). -  Soins corporels (par ex. coiffeur, articles de toilettes). -  Equipement personnel (par ex. fournitures de bureau, sac). -  Boissons prises à l'extérieur. -  Assurance mobilière. -  Autres (par ex. cotisations, petits cadeaux). Ne sont pas compris dans le forfait, le loyer, les charges y afférentes et les  frais médicaux de base (franchises + participation de 10%), ainsi que les prestations circonstancielles." bbb) Le forfait 1 pour l'entretien est censé correspondre au minimum vital indispensable pour mener durablement en Suisse une vie conforme  à  la  dignité  humaine.  Il  a  été harmonisé aux normes applicables en matière de droit des poursuites. Il est déterminé en fonction du nombre de personnes faisant ménage commun (Recueil ch. II-3.4). Pour un ménage comprenant deux personnes, il a été arrêté à 1'545 francs (Barème des normes d'application 2004). Le Recueil d'application de l'aide sociale prévoit également un complément au forfait de base: le forfait 2. Il vise à adapter le forfait 1 aux spécificités régionales afin de  rendre  les moyens octroyés conformes aux conditions de vie locales (PS 2003/0014 du 5 juin 2003 cons. 2c/cc). En ce sens, il a pour but de préserver ou restaurer l'intégration  sociale, en permettant aux bénéficiaires de gagner en autonomie. Il leur laisse ainsi une marge supplémentaire pour acquérir des biens ou se consacrer  à  des activités sportives, culturelles, de formation, voire pour leurs déplacements (Recueil II-3.6). Pour un ménage de deux personnes le forfait 2 se monte à 155 fr. par mois (Barème 2004). ccc) Le loyer peut être pris en charge selon le bail dans  la mesure où il peut  être considéré comme raisonnable. Pour un couple sans enfants, sont considérés comme raisonnables les loyers ne dépassant pas 800 fr. par mois (Barème des normes d'application 2003). Si les frais accessoires liés au bail ne sont pas compris dans le loyer, ils seront pris en charge par l'ASV au coût effectif. Sont notamment inclus dans ce poste, les frais de chauffage et d'eau chaude, les taxes publiques de consommation d'eau/épuration des eaux usées, les frais généraux d'électricité ou encore les taxes de téléréseau (v. Recueil ch. II-4.7). Une majoration de 15% des normes de loyer (sans les charges) peut être prise en charge par le CSR pour les anciens et les nouveaux bénéficiaires de l'aide, dans l'hypothèse où cela serait justifié notamment par une pénurie de logements, des raisons d'ordre médical (Recueil ch. II-4.3). Lorsqu'une personne remplit les conditions d'octroi de l'aide sociale, mais occupe un logement dont le loyer est au-dessus des normes, soit au delà de la marge de 15% admise, il lui appartient de le libérer et de rechercher, avec l'appui de l'autorité d'application, un appartement moins coûteux au plus tard pour l'échéance du contrat de bail. En cas de refus de la part du bénéficiaire de quitter son logement,  l'aide pour  les frais de logement sera réduite dès l'échéance du bail  aux  normes  fixées,  cas  échéant, majorées de 15% (Recueil ch. II-4.3). ddd)  Il  convient  encore  de relever que les dépenses de santé des bénéficiaires de l'ASV sont prises en charge par la collectivité publique. Il en va ainsi des primes d'assurance-maladie (qui relèvent plus particulièrement de l'Organe de contrôle de l'assurance maladie) et des dépenses engendrées par  l'obligation  de  participation  au coûts des prestations LAMal (franchise annuelle, quote-part de 10% qui dépasse la franchise, contribution aux frais de séjour hospitalier). Moyennant  préavis positif  du Service des assurances sociales et de l'hébergement (SASH), des situations exceptionnelles peuvent justifier la prise en charge de traitements et de frais pharmaceutiques qui ne seraient pas pris en charge ou dépasseraient la couverture de base. A cet égard, la directive II-5.4 du Recueil est ainsi libellée: " Frais non admis par les caisses maladie Les bénéficiaires d'aide doivent demander à leur médecin de prescrire des médicaments remboursables par l'assurance obligatoire des soins (assurance-maladie de base). En outre, il leur appartient, avant d'engager des dépenses particulières (ex.: psychologue) de se renseigner auprès de l'autorité d'application pour s'assurer qu'elles seront prises en charge. A défaut, les traitements et les frais pharmaceutiques non couverts par l'assurance maladie de base ne sont pas pris en charge par l'ASV. Dans certaines situations exceptionnelles, l'ASV peut intervenir, à condition que le Service des assurances sociales et de l'hébergement (SASH) ait préalablement rendu un avis favorable. Le SASH doit être consulté par l'envoi d'un dossier instruit, notamment sur les points essentiels suivants: - Le refus d'un assureur-maladie doit être motivé en référence aux dispositions précises de la LAMal ou/et de ses ordonnances (en particulier l'OFAS). En cas de doute sur la motivation de l'assureur, il lui sera demandé une décision formelle (mentionnant la voie de droit et le délai d'opposition ou de recours). En cas de refus d'un assureur directement transmis par décision formelle, le cas sera immédiatement communiqué au SPAS qui assurera le lien avec le SASH (attention au respect du droit d'opposition ou de recours) - La demande est dans tous les cas accompagnée de l'avis du médecin traitant indiquant le motif qui pourrait justifier le choix d'un traitement ou d'un médicament ne figurant pas au catalogue des prestations obligatoires LAMal. - Le cas échéant, cet avis médical peut devoir être soumis au médecin/pharmacien cantonal par le SPAS, s'il s'agit de traitements ou de médicaments coûteux ou/et de longue durée." Enfin, certaines dépenses peuvent être prises en charge au titre des frais circonstanciels lorsqu'il existe des problèmes particuliers en rapport avec l'état de santé, la situation économique et familiale du bénéficiaire. A cet égard, la directive II-6.0 du Recueil prévoit ce qui suit: "Le montant mensuel mis à disposition du bénéficiaire, y compris les prestations pour frais circonstanciels, doit toujours rester dans un rapport approprié avec les moyens dont disposent les personnes à revenu modeste vivant dans l'entourage du bénéficiaire. Les coûts de telles prestations pour frais circonstanciels sont pris en compte dans le budget individuel d'aide dans la mesure où le rapport "coût-avantage" paraît raisonnable. On veillera donc à ce que la prestation octroyée contribue à préserver ou à favoriser l'autonomie et l'intégration sociale du bénéficiaire ou à prévenir des dommages plus graves. De telles aides peuvent avoir, selon la situation, un effet à long terme (par exemple dans le cas de frais liés à une activité lucrative) ou contribuer à stabiliser une situation à court terme (par exemple dans le cas d'un état de crise au sein de la famille)." 2.                Il convient maintenant d'examiner la situation du recourant à la lumière des principes exposés dans les considérants qui précèdent. a) Le recourant fait valoir que le montant alloué ne permet pas à deux personnes de vivre normalement, notamment en raison du coût du loyer. Une fois les factures payées, il ne leur reste rien pour subsister jusqu'à la fin du mois. Il ne saurait toutefois prétendre à une majoration des montants alloués à titre forfaitaire. Comme mentionné, le forfait 1 correspond au mininum vital indispensable pour mener durablement en Suisse une vie conforme à la dignité humaine. Ce montant a été arrêté par le Département en référence aux recommandations de la CSIAS (sans toutefois que le barème vaudois soit aujourd'hui aligné sur celui de la CSIAS), qui tiennent compte du coût de la vie. Il doit dès lors permettre au recourant et à son épouse de couvrir leurs besoins  élémentaires. A cela s'ajoute le montant supplémentaire de 155 fr. par mois qui leur est octroyé au titre du forfait 2. Dans ces conditions, ils n'ont d'autre choix que de réduire leurs dépenses au minimum. Au demeurant, sa demande n'est pas motivée et ne repose sur aucun élément concret. Il n'en va pas différemment s'agissant des frais d'électricité et de téléphone portable, qui sont compris dans les montants alloués à titre forfaitaire. L'acte de recours ne contenant aucune motivation particulière à ce sujet, point n'est besoin d'examiner si une prise en charge au titre des frais circonstanciels se justifierait à titre exceptionnel. Le recourant se plaint du montant élevé de son loyer au regard des subsides versés. Il perd toutefois de vue que les montants versés à ce titre excèdent déjà les normes strictes dont il a été question au considérant 1cc/bbb ci-dessus (Fr. 800 pour un couple sans enfants, charges en sus). A cela s'ajoute que les charges liées au bail, soit les frais de chauffage et d'eau chaude, sont entièrement couvertes. Au demeurant, il n'invoque aucun argument qui justifierait une allocation plus importante. On peut certes se demander si certaines dépenses, en particulier les frais d'électricité, doivent être prises en charge au titre du forfait I ou faire l'objet d'un versement complémentaire en relation avec les charges de loyer. A cet égard, les directives ne sont pas dépourvues d'ambiguïté puisqu'elles prévoyent le remboursement de telles dépenses à l'un ou l'autre titre (v. Recueil II-3.3 et II-4.7). Invitée par le juge instructeur à clarifier ce point, l'autorité intimée s'est contentée d'affirmer péremptoirement que la consommation d'énergie ressortissait aux frais d'entretien (v. courrier du 12 novembre 2004). En réalité, la distinction doit être recherchée à la lumière des principes régissant le domaine du bail à loyer. D'ordinaire, ce sont les services industriels qui facturent au locataire sa consommation personnelle d'électricité. Pour sa part, le bailleur assume les frais, notamment d'électricité, liés aux installations communes de l'immeuble, qu'il peut répercuter sur les frais accessoires ou le loyer (art. 257 ss CO; v. D. Lachat, Le bail à loyer, Lausanne 1997, pp. 221 ss et 292 ss). Cela étant, on doit partir du principe que le forfait mensuel est destiné à couvrir les charges liées à la consommation personnelle d'électricité, facturées séparément par les services industriels, qui ne sont pas partie au contrat de bail. En revanche, les montants versés en relation avec le loyer et les frais accessoires sont eux destinés à couvrir les charges communes, que le bailleur répercute implicitement ou distinctement dans le loyer. En l'espèce, la facture produite par le recourant concerne la consommation personnelle; elle est établie par les services industriels. Il ne leur est rien demandé à ce titre dans le cadre du contrat de bail (v. décompte de la régie D.________ SA du 29 janvier 2004). Il n'est dès lors pas injustifié d'imputer cette dépense sur le forfait d'entretien. Dans ces conditions force est de constater que l'autorité intimée n'a ni excédé ni abusé de son pouvoir d'appréciation. Elle a pris en considératon les faits pertinents, en particulier les besoins admissibles pour un couple sans enfants. En l'état du dossier rien ne permet de penser qu'elle ait omis des éléments essentiels qui justifieraient une aide plus importante; à tout le moins le recourant ne le prétend-il pas. Sur cette base, elle a alors arrêté un montant conforme aux directives édictées par le Département, dont on précise qu'il n'y a pas lieu de s'écarter en l'occurrence. Cela étant, le recourant ne saurait prétendre à une augmentation de l'aide allouée. Pour le surplus, le recourant doit être expressément rendu attentif au risque d'une réduction de la prise en charge du loyer pour la prochaine échéance contractuelle. Selon la jurisprudence du tribunal de céans, une telle mesure est possible pour autant que l'autorité intimée ait imparti aux intéressés un délai adéquat pour déménager dans un logement convenable tout en les assistant dans leurs recherches (TA, arrêts PS 2001/0147 du 26 novembre 2001; PS 2001/0080 du 26 juillet 2001). Cela étant, les explications fournies à l'appui de la décision entreprise peuvent être interprétées comme un acte préalable à la décision qui pourrait intervenir à l'échéance du contrat de bail à loyer. Ce n'est en effet qu'à ce moment là qu'il sera statué sur le rapport de droit (v. art. 29 LJPA). b) Le recourant fait encore valoir que certaines dépenses de santé ne seraient pas prises en charge par l'aide sociale. Il est constant que les primes d'assurance maladie des recourants sont couvertes par les subsides de l'OCC. Par ailleurs, l'aide sociale prend en charge les franchises et la participation aux coûts qui sont demandées. En outre, le recourant perçoit un montant de 175 fr. par mois de frais de régime alimentaire, au titre des frais circonstanciels. Le recourant se plaint du fait qu'il devrait assumer lui-même l'achat de médicaments hors-listes qui ne sont ni remboursés par l'assurance-maladie de base ni par l'aide sociale. L'autorité intimée admet qu'occasionnellement de telles dépenses ne peuvent être prises en charge. On ignore toutefois le type de médicaments dont il est question, la nature des troubles qui en nécessitent l'administration, tout comme l'ampleur des coûts qui en résultent. Quant à savoir si la prescription de médicaments hors liste résulte d'un avis médical, ni les moyens invoqués ni les pièces du dossier ne permettent de le dire. En cours de procédure, le recourant a été expressément invité à apporter des précisions sur ces différents points. Il n'a toutefois pas jugé utile de le faire dans le délai imparti. Dans ces conditions, le tribunal n'est pas en mesure d'accueillir ce grief invoqué dans l'acte de recours. Pour le surplus, il ressort des pièces du dossier que les frais de santé de l'intéressé sont couverts, soit par l'aide sociale, soit par l'assurance maladie. 3.                Les considérants qui précèdent conduisent le tribunal à rejeter le recours. La procédure étant en principe gratuite (art. 15 al. 1 LPAS), il n'y a pas lieu de mettre des frais de justice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