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PS.2004.0054 vom 19. April 2005</w:t>
      </w:r>
    </w:p>
    <w:p>
      <w:r>
        <w:t>VD Tribunal cantonal, 2005-04-19, FR</w:t>
      </w:r>
    </w:p>
    <w:p>
      <w:r>
        <w:rPr>
          <w:b/>
        </w:rPr>
        <w:t xml:space="preserve">Quelle: </w:t>
      </w:r>
      <w:r>
        <w:t>https://mcp.opencaselaw.ch/entscheid/vd_omni_PS.2004.0054</w:t>
      </w:r>
    </w:p>
    <w:p>
      <w:r>
        <w:t>FR: VD_OMNI PS.2004.0054 du 19 avril 2005</w:t>
      </w:r>
    </w:p>
    <w:p>
      <w:r>
        <w:t>IT: VD_OMNI PS.2004.0054 del 19 aprile 2005</w:t>
      </w:r>
    </w:p>
    <w:p>
      <w:pPr>
        <w:pStyle w:val="Heading2"/>
      </w:pPr>
      <w:r>
        <w:t>Regeste</w:t>
      </w:r>
    </w:p>
    <w:p>
      <w:r>
        <w:t>X c/Centre social régional de Lausanne, Service de prévoyance et d'aide sociales | Le refus de l'aide sociale ne peut se justifier en raison du seul statut de police des étrangers du requérant.</w:t>
      </w:r>
    </w:p>
    <w:p>
      <w:pPr>
        <w:pStyle w:val="Heading2"/>
      </w:pPr>
      <w:r>
        <w:t>Erwägungen</w:t>
      </w:r>
    </w:p>
    <w:p>
      <w:r>
        <w:rPr>
          <w:b/>
        </w:rPr>
        <w:t>E. 1</w:t>
      </w:r>
    </w:p>
    <w:p>
      <w:r>
        <w:t>a) Selon l'art. 12 Cst, entré en vigueur le 1 er janvier 2000,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L'art. 12 Cst pose maintenant le principe du droit à des conditions minimales d'existence pour toute personne qui n'est pas en mesure de subvenir à ses besoins et cette norme fonde une prétention justiciable à des prestations positives de la part de l'Etat (ATF 122 II 193 consid. 2b/ee p. 198). La Constitution fédérale ne garantit toutefois que le principe du droit à des conditions minimales d'existence; il appartient ainsi au législateur cantonal d'adopter les règles en matière de sécurité sociale qui ne descendent pas en-dessous du seuil minimum découlant de l'art. 12 Cst, mais qui peuvent, cas échéant, aller au-delà. b) L'art. 3 LPAS, précise que l'aide sociale a pour but de venir en aide aux personnes ayant des difficultés sociales, notamment par des prestations financières (al. 1). Ces prestations sont subsidiaires par rapport aux autres prestations sociales fédérales ou cantonales et à celles des assurances sociales; elles peuvent, le cas échéant, être versées en complément (al. 2); l'obligation d'assistance entre parents est en outre réservée (al. 3).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Selon l'art. 21 LPAS, les prestations sont allouées dans les cas et dans les limites prévues par le Département de la santé et de l'action sociale, qui a édicté à cet effet un recueil d'application de l'aide sociale vaudoise (ci-après : recueil d'application ASV). c) En l'espèce, l'autorité intimée a fondé sa décision refusant l'aide sociale sur la décision d'interdiction d'entrée en Suisse prononcée à l'encontre de recourant, et de l'absence d'un statut conforme à la législation sur la police des étrangers. Toutefois la jurisprudence du tribunal fédéral a précisé que la suppression de l'aide sociale versée en faveur d'un étranger qui ne bénéficiait pas d'un statut de séjour conforme au droit n'était pas compatible à la garantie constitutionnelle de l'article 12 Cst (ATF 121 I p. 367 ss). Un refus des prestations indispensables à la survie physique serait inadmissible pour la période pendant laquelle les personnes concernées n’ont ni le droit légal ni la possibilité objective de gagner leur vie elles-mêmes. (Conférence suisse des institutions d'action sociale, Aide sociale-concepts et normes de calcul G.3.1). Car, le retrait complet des prestations d’assistance est inadmissible tant que l’intéresse n’est pas en mesure de subvenir lui-même à son entretien. Un tel refus constitue une atteinte au droit fondamental à des conditions minimales d’existence, dans la mesure où le standard minimum ne serait plus garanti. (Message relatif à une nouvelle constitution fédérale, FF 1997 I p. 152). Enfin, l'art. 16 LPAS ne prévoit aucune condition concernant le titre de séjour sur territoire vaudois de sorte que la décision attaquée viole aussi cette disposition.</w:t>
      </w:r>
    </w:p>
    <w:p>
      <w:r>
        <w:rPr>
          <w:b/>
        </w:rPr>
        <w:t>E. 2</w:t>
      </w:r>
    </w:p>
    <w:p>
      <w:r>
        <w:t>Il résulte des considérant qui précèdent que le recours doits être admis et la décision attaquée annulée. Le dossier doit être renvoyé à l'autorité intimée afin qu'elle statue à nouveau dans le sens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