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PS.2003.0186 vom 17. März 2004</w:t>
      </w:r>
    </w:p>
    <w:p>
      <w:r>
        <w:t>VD Tribunal cantonal, 2004-03-17, FR</w:t>
      </w:r>
    </w:p>
    <w:p>
      <w:r>
        <w:rPr>
          <w:b/>
        </w:rPr>
        <w:t xml:space="preserve">Quelle: </w:t>
      </w:r>
      <w:r>
        <w:t>https://mcp.opencaselaw.ch/entscheid/vd_omni_PS.2003.0186</w:t>
      </w:r>
    </w:p>
    <w:p>
      <w:r>
        <w:t>FR: VD_OMNI PS.2003.0186 du 17 mars 2004</w:t>
      </w:r>
    </w:p>
    <w:p>
      <w:r>
        <w:t>IT: VD_OMNI PS.2003.0186 del 17 marzo 2004</w:t>
      </w:r>
    </w:p>
    <w:p>
      <w:pPr>
        <w:pStyle w:val="Heading2"/>
      </w:pPr>
      <w:r>
        <w:t>Regeste</w:t>
      </w:r>
    </w:p>
    <w:p>
      <w:r>
        <w:t>c/SPAS | Codébiteurs solidaires, chacun des époux peut être recherché en première ligne pour le remboursement des prestations de l'aide sociale allouées pour le couple.</w:t>
      </w:r>
    </w:p>
    <w:p>
      <w:pPr>
        <w:pStyle w:val="Heading2"/>
      </w:pPr>
      <w:r>
        <w:t>Erwägungen</w:t>
      </w:r>
    </w:p>
    <w:p>
      <w:r>
        <w:rPr>
          <w:b/>
        </w:rPr>
        <w:t>E. 14</w:t>
      </w:r>
    </w:p>
    <w:p>
      <w:r>
        <w:t>avril 2003, la nouvelle Constitution du canton de Vaud (Cst-vd) consacre, à son titre II relatif aux droits fondamentaux, le droit de chaque personne dans le besoin de disposer d'un logement d'urgence approprié et des moyens indispensables pour mener une existence conforme à la dignité humaine (art. 33 Cst-vd). Figurant au titre III relatif aux tâches et responsabilité de l'Etat, l'art. 60 lit. b Cst-vd prévoit quant à lui que l'Etat et les communes assurent à chaque personne habitant le Canton les conditions d'une vie digne par une aide sociale en principe non remboursable, abandonnant ainsi le postulat inverse consacré par la LPAS . A titre principal, le recourant invoque ce nouveau principe constitutionnel en faisant valoir que l'Etat ne saurait lui réclamer le remboursement d'arriérés de rentes sans violer l'art. 60 Cst-vd, qui ne permettrait d'aménager des exceptions que lorsque le bénéficiaire de l'aide réalise des gains extraordinaires (loterie ou héritage), mais non en cas d'allocation d'une rente de l'AI. b) Au titre des dispositions transitoires et finales, l'art. 176 al. 2 Cst-vd retient que "les dispositions de l'ancien droit qui sont contraires aux règles directement applicables de la présente Constitution sont abrogées", l'al. 3 de cette disposition précisant que "pour le reste, l'ancien droit demeure en vigueur tant que la législation d'application requise par la présente Constitution n'aura pas été édictée". Se pose dès lors la question de savoir si le principe du non remboursement de l'aide sociale constitue une règle directement applicable au sens de l'al. 2 de cette disposition ou si, au contraire, elle requiert une législation d'application au sens de l'al. 3 précité, auquel cas l'art. 25 LPAS demeurerait en vigueur jusqu'à l'entrée en vigueur de celle-ci. Le commentaire général relatif à l'avant-projet de la nouvelle Constitution du 14 juillet 1997 tel qu'il ressort du Rapport du Groupe de travail du 19 août 1997 (site internet &lt;http://www.constituante.vd.ch/SiteArchive/MaterielPreparatoire/Acrobat/avant_projet_ce.pdf&gt;) relève ce qui suit, au chapitre 2 relatif aux droits sociaux: " (…) Selon une opinion largement partagée, ces droits (sociaux) auraient une autre nature que les droits fondamentaux en ce qu'ils impliquent une prestation positive de la part de l'Etat appelant dans la plupart des cas l'élaboration de lois spéciales. En d'autres termes, les droits sociaux ne seraient pas des droits subjectifs susceptibles d'une appréciation directe, mais relèveraient plutôt d'une catégorie de normes destinées à inspirer l'action politique des autorités et, dans certaines situations particulières, les décisions des juges. Cette appréciation est exacte, s'agissant de toute une série de droits sociaux (droit au travail, au logement, à la culture, à la santé, à la sécurité sociale, etc.) dont la concrétisation suppose inévitablement l'intervention du législateur. En langage juridique, on dit de ces droits qu'ils ne sont pas "self executing" (…) ". Fort de ces réflexions, le Constituant a par la suite, non sans en avoir débattu, opté pour le caractère non remboursable de l'aide sociale tout en laissant au législateur la tâche d'assortir ce principe d'une liste d'exceptions (voir notamment les séances de l'Assemblée constituante n° 14 du 10 septembre 2000 et n° 35 du 30 novembre 2001, ad &lt;http://www.dire.vd.ch/constitution/historique/bulletins/bulletins.html&gt;; rapport du Conseil d'Etat au Grand Conseil n° 140 (R 28/03) du 25 septembre 2003 sur la planification des travaux législatifs et de mise en œuvre de la Constitution, ad ch. 1.1.2, accessible sur le site &lt;http://www.dire.vd.ch/constitution/pdf/rapport-planification.pdf&gt;). Cette tâche fut accomplie, donnant lieu à l'adoption, le 2 décembre 2003, de la loi sur l'action sociale vaudoise (LASV; RSV 5.17), qui énumère à son art. 41 les cas où le bénéficiaire est tenu au remboursement. De ce qui précède, l'on déduit que, si le droit de chacun au minimum vital garanti par l'aide sociale prescrit à l'art. 33 Cst-vd fut directement applicable en tant qu'il consacre un droit fondamental, le principe du caractère non remboursable de l'aide sociale prévu à l'art. 60 lit. b Cst-vd ne le fut en revanche pas: intégrée dans le titre relatif aux tâches de l'Etat, cette norme est destinée à inspirer l'action politique, dont la concrétisation présuppose par définition l'intervention du législateur. La LASV n'étant pas encore entrée en vigueur à ce jour, la LPAS demeure donc applicable à la présente cause de sorte que le remboursement de l'aide sociale reste fondé dans son principe. Exigible, la restitution du montant réclamé par l'autorité intimée demeure toutefois subordonnée à certaines conditions, dont le recourant  conteste en l'occurrence la réalisation. 4.                     Le recourant fait tout d'abord valoir que le montant réclamé serait exagéré dans la mesure où il recouvre, pour une partie, les prestations versées à son épouse durant le mariage. Soutenant que l'art. 26 LPAS commande de réclamer le remboursement des prestations à la personne qui a effectivement bénéficié de l'aide, il tient pour abusif le fait de lui réclamer la restitution du montant alloué pour les besoins de son épouse. a) A teneur de l'art. 166 al. 1er du Code civil (CC), chaque époux représente l'union conjugale pour les besoins courants de la famille pendant la vie commune. L'al. 3 de cette disposition prévoit quant à lui que chaque époux s'oblige personnellement par ses actes et oblige solidairement son conjoint en tant qu'il n'excède pas ses pouvoirs d'une manière reconnaissable pour les tiers. Le but de cette disposition est de permettre à chaque époux d'agir - soit seul, soit avec le consentement de son conjoint ou le cas échéant celui du juge - pour les besoins de la famille et d'obliger par ses actes non seulement sa propre personne mais également son conjoint, cela afin d'améliorer l'efficacité des époux et d'augmenter le crédit de chacun d'eux, lorsqu'ils agissent dans l'intérêt de la famille, mais aussi de protéger leurs créanciers. En d'autres termes, lorsqu'ils s'engagent pour les besoins de la famille ou de l'union conjugale, les époux sont de par la loi codébiteurs solidaires de l'engagement qu'ils ont pris de sorte que chacun d'eux peut être recherché en première ligne, sans égard à la volonté des parties. (Deschenaux/Steinauer/Baddeley, Les effets du mariage, Staempfli 2000, ch. 356 à 358 et les références citées; Basler Kommentar, Zivilgesetzbuch I, ad art. 166 CC, en particulier les ch. 19 à 25). Ceci implique notamment que d'éventuelles conventions contraires, excluant ou limitant la responsabilité solidaire des époux, ne sont opposables au tiers que dans le cas où celui-ci y a consenti (Deschenaux/Steinauer/Baddeley, op. cit., ch. 419). Ainsi, la responsabilité de l'un des époux à l'égard d'une caisse-maladie pour les dettes de cotisation de l'autre époux a-t-elle été retenue par le Tribunal fédéral des assurances, l'époux répondant solidairement de ces dettes, que le rapport d'assurance dont découle la créance de cotisation ait été créé pendant la vie commune ou pour satisfaire des besoins courants de la famille (ATF 129 V 90; 119 V 16). b) En l'espèce, il n'est pas douteux que les prestations litigieuses furent servies aux époux pour satisfaire les besoins du couple. L'aide allouée pour un couple n'est en effet pas calculée en additionnant deux forfaits pour personnes seules, mais correspond au forfait pour une personne, complété afin de tenir compte de la composition du ménage, respectivement des besoins de celui-ci. Ainsi, solidairement responsables au sens de l'art. 166 al. 3 CC dès lors que la dette qu'ils contractaient trouvait sa cause dans le fait de subvenir à leurs besoins durant la vie commune au sens du 1er alinéa de cette disposition, chacun, du recourant ou de son épouse, pouvait être recherché en première ligne. Que les époux soient ensuite convenus de se donner quittance dans le cadre de la liquidation de leur régime matrimonial n'y change rien: comme vu plus haut, la convention qu'ils ont passée quant aux effets accessoires de leur divorce ne saurait être opposée à un tiers qui n'y a pas consenti. Ainsi, l'autorité intimée était-elle fondée à réclamer au seul recourant le remboursement de l'aide versée pour l'entretien de celui-ci et celui de son épouse. 5.                     Le recourant n'ayant pas remis en cause le montant global de l'aide tel qu'arrêté par l'autorité à fr. 86'890.45, subsiste la question de savoir si le remboursement ne compromet pas la situation financière de l'intéressé, ce que proscrit l'art. 25 LPAS, respectivement si aucun autre principe ne fait obstacle à la demande de restitution. a) A cet égard, l'on constate d'entrée que, retenue par la caisse de compensation sur le montant des arriérés de la rente d'invalidité du recourant, la somme réclamée est disponible. b) L'on observe ensuite que, si l'art. 92 al. 1er ch. 10 de la loi fédérale sur la poursuite pour dettes et la faillite (LP) prescrit que les rentes versées par l'AI sont absolument insaisissables, l'on admet que celles-ci s'ajoutent au revenu relativement saisissable du poursuivi au sens de l'art. 93 LP, lequel peut être saisi dans la mesure où il excède la part du minimum vital non couverte par les prestations insaisissables (Gilliéron, Commentaire de la LP, ad art. 92, note 189). L'on en déduit que le recourant, qui dispose d'une rente mensuelle AI lui assurant de quoi subvenir à ses besoins, ne verra pas son minimum vital amputé du fait de la cession des arriérés de sa rente à l'autorité intimée, ce qui fonde dès lors celle-ci à prétendre au remboursement litigieux. c) Enfin, les prestations d'assurance versées rétroactivement ne pouvant être prises en compte, en vertu du principe dit de l'unité de temps, que s'il y a chevauchement entre la période pour laquelle ces prestations sont dues et celle durant laquelle les avances ont été effectuées (ATF 121 V 17), force est de constater, sans du reste que le recourant en disconvienne, que tel est bien le cas en l'espèce. 6.                     Des considérants qui précèdent, il résulte que la demande de restitution dont est recours, fondée dans son principe et sa quotité, doit être confirmée, ce qui implique le rejet du pourvoi, sans frais pour son auteur (art. 15 RPAS) et sans que celui-ci puisse prétendre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