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PS.2003.0114 vom 19. November 2004</w:t>
      </w:r>
    </w:p>
    <w:p>
      <w:r>
        <w:t>VD Tribunal cantonal, 2004-11-19, FR</w:t>
      </w:r>
    </w:p>
    <w:p>
      <w:r>
        <w:rPr>
          <w:b/>
        </w:rPr>
        <w:t xml:space="preserve">Quelle: </w:t>
      </w:r>
      <w:r>
        <w:t>https://mcp.opencaselaw.ch/entscheid/vd_omni_PS.2003.0114</w:t>
      </w:r>
    </w:p>
    <w:p>
      <w:r>
        <w:t>FR: VD_OMNI PS.2003.0114 du 19 novembre 2004</w:t>
      </w:r>
    </w:p>
    <w:p>
      <w:r>
        <w:t>IT: VD_OMNI PS.2003.0114 del 19 novembre 2004</w:t>
      </w:r>
    </w:p>
    <w:p>
      <w:pPr>
        <w:pStyle w:val="Heading2"/>
      </w:pPr>
      <w:r>
        <w:t>Regeste</w:t>
      </w:r>
    </w:p>
    <w:p>
      <w:r>
        <w:t>c/Centre social régional de Lausanne, Service de prévoyance et d'aide sociales | Suppression de l'aide sociale justifiée lorsque le bénéficiaire refuse un travail convenable qui lui est assigné pour des motifs de convenance personnelle.</w:t>
      </w:r>
    </w:p>
    <w:p>
      <w:pPr>
        <w:pStyle w:val="Heading2"/>
      </w:pPr>
      <w:r>
        <w:t>Erwägungen</w:t>
      </w:r>
    </w:p>
    <w:p>
      <w:r>
        <w:rPr>
          <w:b/>
        </w:rPr>
        <w:t>E. 1</w:t>
      </w:r>
    </w:p>
    <w:p>
      <w:r>
        <w:t>Le recours a été déposé dans le délai de 30 jours fixé par l'art. 24 de la loi du 25 mai 1977 sur la prévoyance et l'aide sociales (ci-après : LPAS) et il remplit au surplus les conditions de forme requises à l'art. 31 LJPA; il y a donc lieu d'entrer en matière sur le fond.</w:t>
      </w:r>
    </w:p>
    <w:p>
      <w:r>
        <w:rPr>
          <w:b/>
        </w:rPr>
        <w:t>E. 2</w:t>
      </w:r>
    </w:p>
    <w:p>
      <w:r>
        <w:t>a) Avant l'entrée en vigueur de la nouvelle Constitution fédérale, la doctrine et la jurisprudence fédérale ont considéré qu'il existait un droit fondamental non écrit au maintien du minimum vital (Existenzminimum) découlant implicitement de la constitution fédérale (ATF 121 I 367, JT 1997 I 278; ATF 122 I 101; ATF 122 II 193, JT 1998 I 562). Ce droit ne garantissait pas un revenu minimal, mais uniquement ce qui était indispensable au maintien d'une existence décente, prévenant de cette façon un état de mendicité qui serait indigne de la condition humaine; il appartenait en outre à la collectivité compétente de déterminer, sur la base de sa législation, le mode et l'ampleur des prestations qui s'imposaient dans le cas concret (ATF 121 I 367 consid.3b p. 375 = JT 1997 I 278). b) Le droit à des conditions minimales d'existence a été introduit à l'article 12 de la nouvelle Constitution fédérale du 18 avril 1999 (Cst.), entrée en vigueur le 1er janvier 2000. Sous le titre "Droit d'obtenir de l'aide dans des situations de détresse", l'art. 12 Cst. est formulé comme suit : "Quiconque est dans une situation de détresse et n'est pas en mesure de subvenir à son entretien a le droit d'être aidé et assisté et de recevoir les moyens indispensables pour mener une existence conforme à la dignité humaine". Cela signifie que toute personne dans le besoin a le droit de bénéficier d'une assistance sociale minimale, à la fois matérielle (moyens indispensables à une existence conforme à la dignité humaine) et personnelle (conseils et assistance). Le message du 20 novembre 1996 relatif à la nouvelle constitution fédérale précise que : "sur le plan de la justiciabilité, le droit de mener une existence conforme à la dignité humaine a ainsi acquis le rang de droit fondamental, dans la mesure où toute personne peut s'en prévaloir devant un tribunal" (FF 1997, I, p. 152). L'exigence d'une situation de besoin dans la norme constitutionnelle montre le caractère subsidiaire des prestations d'assistance (voir ATF non publié du 4 mars 2003 rendu en la cause 2P.147/2002). L'aide sociale a ainsi pour tâche fondamentale de garantir des conditions d'existence minimales aux personnes dans le besoin; il s'agit d'une notion générique qui englobe, d'une part, les prestations garantissant le minimum vital, et, d'autre part, un large éventail d'aides allant au-delà de la simple garantie de l'existence élémentaire" (FF 1997, I, p. 152 et la référence à F. Wolffers). C’est en principe le droit cantonal qui fixe la portée et l'étendue des mesures d'aide en faveur des personnes se trouvant dans des situations de détresse et qui ne sont pas en mesure de subvenir à leur entretien, sous réserve des compétences propres de la Confédération (Andreas Auer, Giorgio Malinverni, Michel Hottelier, Droit constitutionnel suisse, vol. II, 2000, n. 1507, p. 687-688). c) Le droit vaudois concrétise le principe constitutionnel du droit d'obtenir une aide dans des situations de détresse par la loi du 25 mai 1977 sur la prévoyance et l'aide sociales (ci-après : LPAS). L'art. 3 LPAS prescrit que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Aux termes de l'art. 17 LPAS, l'aide sociale est accordée à toute personne qui se trouve dépourvue des moyens nécessaires à satisfaire ses besoins vitaux et personnels indispensables. L'exposé des motifs précise au sujet de l'art. 17 LPAS qu'il y a lieu d'opérer une distinction entre les besoins vitaux (nourriture, logement, vêtements, soins médicaux) et les besoins personnels (déplacements, cotisations d'assurances, formation professionnelle, vacances des enfants, etc.) (BGC printemps 1977, p. 758). 3.                Le droit à l'aide sociale, tel qu’il est garanti par la Constitution fédérale n'est pas un droit absolu. Il peut être réduit, limité dans le temps ou supprimé lorsque les conditions requises pour apporter des restrictions aux droits fondamentaux sont remplies (art. 36 Cst.). La restriction doit alors reposer sur une base légale, être justifiée par un intérêt public suffisant, respecter le principe de proportionnalité et ne pas porter atteinte au noyau intangible du droit fondamental en cause (ATF 122 II 193 consid. 2c p. 197 voir aussi Félix Wolffers, Grundriss des Sozialhilferechts, Berne 1993, p. 166). a) Le Tribunal fédéral a admis que, même sans base légale, le retrait total du droit à des prestations peut être prononcé lorsque la personne assistée se comporte de façon abusive (ATF 121 I 367 c. 3b, JdT 1997 I 278; Wollfers, op. cit. 1993, p. 168). En effet, l'interdiction de l'abus de droit est un principe général du droit valable dans l'ensemble de l'ordre juridique sans qu'une disposition expresse ne soit nécessaire (cf. ATF 119 Ia 221 c. 5a, JdT 1994 IV 190; ATF 116 II 497 c. 3, JdT 1992 I 653). Une base légale formelle n'est dès lors pas indispensable à la suppression des prestations d'assistance dans la mesure où les motifs de retrait représentent une application de l'interdiction générale de l'abus de droit. Doivent être considérés comme de telles concrétisations de ce principe les motifs de réduction liés à la violation d'obligations que la personne assistée doit respecter, suivant le type d'assistance, afin de pouvoir prétendre aux prestations, même si ces obligations ne sont fixées que partiellement dans la loi (cf. Anne Mäder/Ursula Neff, Vom Bittgang zum Recht, Berne 1998, pp 65 ss; Wolffers, op. cit. 1993, pp 105 ss) (ATF 122 II 93 c. 2c ee, JdT 1998 I 562). Constitue notamment un cas d'abus de droit le fait d'utiliser une institution, de façon contraire au droit, pour la réalisation d'intérêts que cette institution n'a pas pour but de protéger (ATF 121 I 367 c. 3b et les arrêts cités). b) La doctrine n'est pas unanime sur la question de savoir si un abus de droit peut justifier la suppression totale des prestations d'aide sociale. Jörg Paul Muller est d'avis que le droit à l'aide sociale ne peut pas se perdre, fût-ce en cas d'abus de droit, dès lors qu'il a trait à la dignité humaine : on ne pourrait pas y renoncer davantage qu'à l'interdiction des traitements inhumains de l'art. 3 CEDH. Kathrin Amstutz précise à quelles conditions un abus de droit à l'aide sociale peut être retenu. L'intéressé doit tout d'abord avoir manifestement provoqué son dénuement dans le seul but de percevoir des prestations : en dehors de cette hypothèse, soit il ne se trouvera pas dans une situation de besoin d'aide, soit il s'y trouvera sans que le reproche puisse lui en être fait. Il doit ensuite avoir affecté délibérément ces prestations à un but qui n'est pas celui de l'aide sociale. Le Tribunal administratif en conclut "que l'on adhère ou non au point de vue exprimé par les auteurs précités, on ne conçoit en tout cas pas qu'un abus de droit à l'aide sociale soit retenu là où celui qui en sollicite l'octroi n'est pas en mesure de mettre fin à sa situation de requérant de son propre mouvement" (PS 2002/0180 c. 3 b et c; Jörg Paul Müller, Grundrechte in der Schweiz, p. 179 et 180; Kathrin Amstutz, Das Grundrecht auf Existenzsicherung, Berne 2002, p. 304 ss, spéc. 310 ss). Sans toutefois examiner la question sous l'angle de l'abus de droit, le Tribunal fédéral a aussi admis que l'aide sociale puisse être refusée au requérant qui, en acceptant l'emploi convenable qui lui était proposé, pouvait par lui-même se procurer les moyens d'existence garantis par la Constitution (ATF 2P147/2002 du 4 mars 2003). c) En l'espèce, un travail correspondant aux qualifications du recourant lui a été proposé pour une période d'une année, qui lui aurait permis de mettre fin à sa situation de chômeur sans droit dans laquelle il se trouvait. Le recourant a clairement été averti des conséquences d'un refus de la prise d'emploi, notamment du risque d’une suppression des prestations de l’aide sociale. Il est vrai que le recourant souhaitait pouvoir rendre visite à sa famille en Turquie pendant les vacances d'été, mais il avait la possibilité de reporter ou de déplacer ses vacances dès que cela pouvait convenir à son nouvel employeur. Au demeurant, des discussions entre l'assistant social et l'employeur ont eu lieu pour envisager la possibilité de lui accorder 15 jours de vacances pendant l'été. En définitive, il apparaît que le recourant a refusé l'emploi qui lui était proposé pour des motifs de convenance, de sorte qu'il se trouve dans une situation très proche de l'abus en revendiquant les prestations de l’aide sociale. C'est donc à juste titre que l'autorité intimée a supprimé les prestations de l'aide sociale tout en réservant la possibilité de réexaminer sa décision si les circonstances se modifiaient. A cet égard, le tribunal tient à préciser que, pour tenir compte du principe de proportionnalité, cette mesure ne saurait excéder une période de six mois au terme de laquelle l'autorité intimée doit réexaminer la situation du requérant pour déterminer s’il remplit à nouveau les conditions permettant l'octroi des prestations de l'aide sociale, ce qui semble vraisemblable en l’espèce, compte tenu des preuves de recherches d’emploi produites par le recourant pendant la procédure de recours. 4.                Il résulte des considérants qui précèdent que le recours doit être rejeté et la décision attaquée maintenue.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