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PS.2003.0036 vom 25. November 2005</w:t>
      </w:r>
    </w:p>
    <w:p>
      <w:r>
        <w:t>VD Tribunal cantonal, 2005-11-25, FR</w:t>
      </w:r>
    </w:p>
    <w:p>
      <w:r>
        <w:rPr>
          <w:b/>
        </w:rPr>
        <w:t xml:space="preserve">Quelle: </w:t>
      </w:r>
      <w:r>
        <w:t>https://mcp.opencaselaw.ch/entscheid/vd_omni_PS.2003.0036</w:t>
      </w:r>
    </w:p>
    <w:p>
      <w:r>
        <w:t>FR: VD_OMNI PS.2003.0036 du 25 novembre 2005</w:t>
      </w:r>
    </w:p>
    <w:p>
      <w:r>
        <w:t>IT: VD_OMNI PS.2003.0036 del 25 novembre 2005</w:t>
      </w:r>
    </w:p>
    <w:p>
      <w:pPr>
        <w:pStyle w:val="Heading2"/>
      </w:pPr>
      <w:r>
        <w:t>Regeste</w:t>
      </w:r>
    </w:p>
    <w:p>
      <w:r>
        <w:t>X. c/Agence communale d'assurances sociales de Lausanne, Centre social régional de Lausanne, Service de prévoyance et d'aide sociales | Le bénéficiaire de l'aide sociale qui a reçu, à titre rétroactif, une rente de l'assurance sociale (AI), doit, portant, restituer les prestations octroyées comme avance sur cette rente. En l'occurrence, le montant à restituer n'est pas disponible et l'autorité n'a pas vérifié si le remboursement compromettait la situation de la personne aidée.</w:t>
      </w:r>
    </w:p>
    <w:p>
      <w:pPr>
        <w:pStyle w:val="Heading2"/>
      </w:pPr>
      <w:r>
        <w:t>Erwägungen</w:t>
      </w:r>
    </w:p>
    <w:p>
      <w:r>
        <w:rPr>
          <w:b/>
        </w:rPr>
        <w:t>E. 1</w:t>
      </w:r>
    </w:p>
    <w:p>
      <w:r>
        <w:t>Centre social régional de Lausanne, à Lausanne</w:t>
      </w:r>
    </w:p>
    <w:p>
      <w:r>
        <w:rPr>
          <w:b/>
        </w:rPr>
        <w:t>E. 2</w:t>
      </w:r>
    </w:p>
    <w:p>
      <w:r>
        <w:t>C’est pour cela que le SPAS a emprunté la voie de la restitution au sens de l’art. 26 LPAS, à teneur duquel le département réclame par voie de décision, au bénéficiaire ou à sa succession, le remboursement de toutes prestations dues. Cette règle répond au principe que l’aide sociale n’est pas distribuée à fonds perdus, mais sous forme d’avances en principe remboursables. La nouvelle Constitution cantonale n’a rien changé à cela (cf. arrêt PS 2003.0186 du 17 mars 2004, consid. 3). Pour s’opposer au remboursement, le recourant se prévaut de l’art. 25 al. 1 LPAS, qui prévoit que le remboursement n’est envisageable que s’il ne compromet pas la situation financière du bénéficiaire de l’aide sociale. Il tient la demande de remboursement pour prématurée, aussi longtemps que le principe et le montant de la rente d’invalidité n’auront pas été fixés définitivement. Il se réserve en outre la possibilité de demander la renonciation du remboursement, en tout ou partie, comme l’art. 25 al. 3 LPAS permet de le faire. Quelle que soit l’issue de la procédure pendante devant le Tribunal fédéral des assurances, l’octroi rétroactif d’un montant de 101'055,45 fr., au titre d’une demi-rente d’invalidité, en faveur du recourant est acquis. Ce montant, qui couvre celui du remboursement exigé par le SPAS, n’a cependant pas encore été versé au recourant, puisque la décision de l’OAI n’est pas entrée en force. Il suit de là que la somme réclamée n’est pas disponible (sur ce point précis, la présente cause se distingue de celle qui a donné lieu au prononcé de l’arrêt PS.2003.0186, précité, consid. 5a). En outre, le dossier ne contient aucune indication précise quant à l’état de fortune du recourant. Celui-ci, ainsi que son épouse et ses deux enfants, dépend depuis de nombreuses années de l’aide sociale. Il est impossible de déterminer si le surplus dont pourrait disposer le recourant après le versement rétroactif de la rente et le remboursement de l’aide sociale, ne devrait pas être affecté au règlement de dettes qu’il pourrait avoir contractées. Il suit de là que faute d’avoir établi de manière précise la situation financière du recourant, le SPAS ne pouvait l’astreindre à la restitution, au titre de la compensation de la rente versée rétroactivement, du moins en l’état de la procédure (cf. l’arrêt PS. 2005.0057, précité, consid. 2). La situation pourrait changer après le 1 er janvier 2006 ou après l’entrée en force de la décision relative à la rente, et au versement à titre rétroactif de celle-ci.</w:t>
      </w:r>
    </w:p>
    <w:p>
      <w:r>
        <w:rPr>
          <w:b/>
        </w:rPr>
        <w:t>E. 3</w:t>
      </w:r>
    </w:p>
    <w:p>
      <w:r>
        <w:t>Le recours doit ainsi être admis et la décision attaquée annulée. Il est statué sans frais. Le recourant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