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PS.2002.0182 vom 30. Juni 2004</w:t>
      </w:r>
    </w:p>
    <w:p>
      <w:r>
        <w:t>VD Tribunal cantonal, 2004-06-30, FR</w:t>
      </w:r>
    </w:p>
    <w:p>
      <w:r>
        <w:rPr>
          <w:b/>
        </w:rPr>
        <w:t xml:space="preserve">Quelle: </w:t>
      </w:r>
      <w:r>
        <w:t>https://mcp.opencaselaw.ch/entscheid/vd_omni_PS.2002.0182</w:t>
      </w:r>
    </w:p>
    <w:p>
      <w:r>
        <w:t>FR: VD_OMNI PS.2002.0182 du 30 juin 2004</w:t>
      </w:r>
    </w:p>
    <w:p>
      <w:r>
        <w:t>IT: VD_OMNI PS.2002.0182 del 30 giugno 2004</w:t>
      </w:r>
    </w:p>
    <w:p>
      <w:pPr>
        <w:pStyle w:val="Heading2"/>
      </w:pPr>
      <w:r>
        <w:t>Regeste</w:t>
      </w:r>
    </w:p>
    <w:p>
      <w:r>
        <w:t>c/Centre social régional de Morges-Aubonne | Le bénéficiaire de l'aide sociale, sans emploi, doit faire son possible pour retrouver du travail, l'art. 17 al. 1 LACI étant applicable par analogie. Lorsque cette obligation n'est pas remplie, une sanction pouvant porter sur une réduction ou une annulation du forfait II et une réduction maximale de 15 % du forfait I se justifie.</w:t>
      </w:r>
    </w:p>
    <w:p>
      <w:pPr>
        <w:pStyle w:val="Heading2"/>
      </w:pPr>
      <w:r>
        <w:t>Erwägungen</w:t>
      </w:r>
    </w:p>
    <w:p>
      <w:r>
        <w:rPr>
          <w:b/>
        </w:rPr>
        <w:t>E. 15</w:t>
      </w:r>
    </w:p>
    <w:p>
      <w:r>
        <w:t>% du forfait I (sur l'application de ces directives, voir les arrêts PS 2002/0171 du 27 mai 2003, p. 8; PS 2002/0115 du 22 janvier 2004, consid. 3b/bb). b) En l'espèce, l'autorité intimée n'a pas manqué d'avertir le recourant par lettre du 25 novembre 2002. Il convient de relever que le recourant était déjà averti par la précédente procédure, ouverte par lettre d'avertissement du 26 juin 2002, suivie par la décision de sanction du 29 août 2002. La sanction prononcée, objet de la décision querellée, supprime le forfait II et réduit le forfait I de 15 %, ce qui est admissible au regard de la jurisprudence précitée. Enfin, la sanction était limitée dans le temps, puisqu'elle devait prendre fin le 31 mars 2003. Force est donc de constater que la sanction imposée par l'autorité intimée ne viole pas le principe de la proportionnalité, ni ne prive le bénéficiaire de l'aide sociale de ce qui est nécessaire pour assurer la vie physique (nourriture, vêtements, logement et traitement médical) et qui constitue un noyau intangible. Partant, elle est justifiée. 4.                     Les considérations qui précèdent conduisent le tribunal de céans à rejeter le recours. L'arrêt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