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PS.2002.0111 vom 25. März 2004</w:t>
      </w:r>
    </w:p>
    <w:p>
      <w:r>
        <w:t>VD Tribunal cantonal, 2004-03-25, FR</w:t>
      </w:r>
    </w:p>
    <w:p>
      <w:r>
        <w:rPr>
          <w:b/>
        </w:rPr>
        <w:t xml:space="preserve">Quelle: </w:t>
      </w:r>
      <w:r>
        <w:t>https://mcp.opencaselaw.ch/entscheid/vd_omni_PS.2002.0111</w:t>
      </w:r>
    </w:p>
    <w:p>
      <w:r>
        <w:t>FR: VD_OMNI PS.2002.0111 du 25 mars 2004</w:t>
      </w:r>
    </w:p>
    <w:p>
      <w:r>
        <w:t>IT: VD_OMNI PS.2002.0111 del 25 marzo 2004</w:t>
      </w:r>
    </w:p>
    <w:p>
      <w:pPr>
        <w:pStyle w:val="Heading2"/>
      </w:pPr>
      <w:r>
        <w:t>Regeste</w:t>
      </w:r>
    </w:p>
    <w:p>
      <w:r>
        <w:t>c/Centre social intercommunal de Montreux-Veytaux | Aide sociale vaudoise : lorsque la décision n'indique pas les voies de droit, le recours doit être interjeté dans un délai raisonnable (principe de la bonne foi). En application du principe de la subsidiarité (art. 3 al. 2 LPAS), un couple de requérants qui bénéficie d'un prêt précuniaire de tiers doit voir son aide sociale réduite en conséquence, l'aide sociale n'étant pas destinée à rembourser une dette.</w:t>
      </w:r>
    </w:p>
    <w:p>
      <w:pPr>
        <w:pStyle w:val="Heading2"/>
      </w:pPr>
      <w:r>
        <w:t>Erwägungen</w:t>
      </w:r>
    </w:p>
    <w:p>
      <w:r>
        <w:rPr>
          <w:b/>
        </w:rPr>
        <w:t>E. 16</w:t>
      </w:r>
    </w:p>
    <w:p>
      <w:r>
        <w:t>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santé et de l'action sociale, selon les dispositions d'application de la loi (art. 21 LPAS). b) Il découle du principe cardinal de la subsidiarité énoncée ci-dessus (consid. 2a) que les recourants ne peuvent prétendre au versement d'une aide sociale lorsqu'ils bénéficient de montants leur permettant de vivre. En l'occurrence, les recourants, lorsqu'ils sont arrivés à 2********, ont touché quelques 4'000 fr. (3'000 fr. + 1'000 fr.) de la part de tiers. Ce montant dépasse l'aide sociale qui leur a été octroyée (3'620 francs par mois) et leur a permis de vivre pendant le mois de juin 2002. Le CSI devait donc en tenir compte en réduisant l'ASV 05, ce d'autant plus que l'aide sociale est remboursable (art. 25 al. 1 LPAS). Au surplus, l'aide sociale n'est pas destinée à rembourser des dettes. Dès lors, le recours ne peut être que rejeté. 3.                     En tous points fondée, la décision querellée doit être confirmée et le recours rejeté, sans suite de frais pour ses auteurs (art. 15 RPAS).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