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PS.2002.0082 vom 5. März 2003</w:t>
      </w:r>
    </w:p>
    <w:p>
      <w:r>
        <w:t>VD Tribunal cantonal, 2003-03-05, FR</w:t>
      </w:r>
    </w:p>
    <w:p>
      <w:r>
        <w:rPr>
          <w:b/>
        </w:rPr>
        <w:t xml:space="preserve">Quelle: </w:t>
      </w:r>
      <w:r>
        <w:t>https://mcp.opencaselaw.ch/entscheid/vd_omni_PS.2002.0082</w:t>
      </w:r>
    </w:p>
    <w:p>
      <w:r>
        <w:t>FR: VD_OMNI PS.2002.0082 du 5 mars 2003</w:t>
      </w:r>
    </w:p>
    <w:p>
      <w:r>
        <w:t>IT: VD_OMNI PS.2002.0082 del 5 marzo 2003</w:t>
      </w:r>
    </w:p>
    <w:p>
      <w:pPr>
        <w:pStyle w:val="Heading2"/>
      </w:pPr>
      <w:r>
        <w:t>Regeste</w:t>
      </w:r>
    </w:p>
    <w:p>
      <w:r>
        <w:t>c/CSR de Lausanne | L'aide sociale ne comprend pas de droit à la formation.</w:t>
      </w:r>
    </w:p>
    <w:p>
      <w:pPr>
        <w:pStyle w:val="Heading2"/>
      </w:pPr>
      <w:r>
        <w:t>Erwägungen</w:t>
      </w:r>
    </w:p>
    <w:p>
      <w:r>
        <w:rPr>
          <w:b/>
        </w:rPr>
        <w:t>E. 11</w:t>
      </w:r>
    </w:p>
    <w:p>
      <w:r>
        <w:t>novembre 1997, 98/036 du 8 mai 1998, 98/057 du 8 mai 1998, 01/098 du 11 septembre 2001). c) Certes, le recueil d'application prévoit-il le cas d'aides "exceptionnelles ou extraordinaires", lesquelles sont accordées "lorsque les demandes d'aide ne sont pas prévues et/ou exclues par le recueil" (recueil d'application, ch. II-1.2), directive sur laquelle l'autorité intimée s'est précisément fondée pour requérir du SPAS qu'il consente à allouer l'aide sociale au recourant. Il appert cependant que la seule disposition légale sur laquelle cette directive pourrait trouver appui est l'art. 18 LPAS, à teneur duquel "exceptionnellement, lorsque les circonstances le justifient, l'aide sociale peut comporter, pour un temps déterminé, les moyens propres à permettre à l'intéressé de recouvrer son indépendance économique". Les travaux préparatoires ne circonscrivent pas le champ d'application de cette norme, se bornant à préciser qu'une telle aide exceptionnelle a pour but de permettre le traitement de cas particuliers dans un but de prévention, afin d'éviter, par un appui adéquat et en temps opportun, qu'une personne ne devienne ultérieurement un "cas social" (Exposé des motifs du Conseil d'Etat relatif au projet de la LPAS, in BGC, printemps 1977, p. 758). Le Tribunal de céans a d'abord rattaché exclusivement cette disposition au cas des indépendants (arrêt PS 96/340 du 4 mars 1977), avant de considérer, non sans laisser la question ouverte, qu'une telle restriction n'apparaissait pas exacte dès lors que les termes "indépendance économique" n'ont pas le même sens que ceux "d'activité indépendante", mais désignent plutôt l'un des buts mêmes de l'aide sociale qui est de restaurer l'indépendance économique dans un sens général (arrêt PS 99/066 du 9 septembre 1999, et les références citées). Quoiqu'il en soit, en matière d'aide à la formation - seule en cause en l'espèce -, il ne saurait logiquement s'agir pour le requérant de "recouvrer" un indépendance économique, au sens de l'art. 18 LPAS, mais bien plutôt d'en "acquérir" une, au terme d'une formation propre à assurer son insertion professionnelle. Ainsi, cette disposition n'est-elle pas applicable au cas de l'étudiant, ni ne s'avère donc propre à prendre le pas sur les règles déduites en pareil cas du seul principe de subsidiarité, telles qu'invoquées par le SPAS et l'autorité intimée. 4.                     Ceci étant, il y a lieu de préciser, afin d'être complet, qu'il paraît néanmoins concevable d'allouer l'aide sociale à un étudiant pour lui permettre de poursuivre une formation lorsque celle-ci est conçue comme un moyen d'intégration sociale et lorsque l'intéressé se trouve dans le dénuement en raison de circonstances particulières ou dans l'attente d'une couverture de sa formation par des prestations d'autres institutions, telle l'assurance-invalidité. L'on se rapporte à cet égard, d'une part aux directives de la CSIAS, d'autre part à la jurisprudence du Tribunal fédéral. a) La CSIAS - aux recommandations de laquelle se rallie la doctrine dominante (Félix Wolffers, Grundriss des Sozialhilferechts, 2ème éd., 1999, p. 148; Jörg Paul Müller, Grundrechte in der Schweiz, 3ème éd., 1999, p. 436 ss) - retient en effet que l'assistance des personnes dans le besoin (c'est-à-dire l'aide sociale au sens large), pour fondée qu'elle soit sur le principe de la subsidiarité, se doit d'assurer aux bénéficiaires, non seulement le minimum vital - soit la couverture des besoins fondamentaux englobant toutes les dépenses courantes nécessaires à l'entretien d'un ménage -, mais aussi le minimum social visant à leur donner la possibilité de participer à la vie active et sociale en favorisant la responsabilité et l'effort personnels, notamment par des mesures favorisant l'intégration sociale et l'insertion professionnelle (directives CSIAS 12/2000, A.1 et A.6). D'une manière générale, il est à ce dernier titre recommandé aux organes d'aide sociale, responsables de l'insertion professionnelle des personnes demandant de l'aide, de collaborer avec les milieux politiques et économiques sur les plans local, régional et cantonal, par la mise en place d'un éventail de mesures appropriées (directives CSIAS, D.1 et D.3). Il est également précisé que les contributions ayant un caractère de subvention, telles que les bourses d'études, sont distinguées de l'aide sociale proprement dite: situées en amont de l'aide sociale, elles ont justement pour but d'empêcher que les couches de la population à faible revenu tombent dans la dépendance de l'aide sociale (directives CSIAS, G.3, se référant sur ce point à un arrêt non publié du Tribunal fédéral du 26 août 1998). En particulier, traitant de la formation et du perfectionnement professionnel, les directives CSIAS retiennent bien que l'aide sociale - en vertu du principe de la subsidiarité - n'a à accorder de contributions que si ces mesures ne peuvent pas être financées par d'autres sources, telles que bourses, contributions des parents, prestations de l'assurance-chômage ou invalidité, moyens provenant de fonds. La formation initiale - qui nous occupe précisément en l'espèce - relève en principe de l'obligation d'entretien des parents, obligation qui persiste au-delà de la majorité de l'enfant, à teneur de l'art. 277 al. 2 CC, dans le cas où une personne majeure est restée sans formation appropriée. Par contre, s'il est impossible d'exiger des parents de subvenir à l'entretien et si les revenus (salaires, bourses, prestations de fonds et de fondations) ne suffisent pas à couvrir l'entretien et les dépenses liées à la formation, la CSIAS admet que l'autorité d'aide sociale puisse décider de verser une aide complémentaire, faculté précisément prévue à l'art. 3 al. 2 in fine LPAS. Les contributions à une seconde formation ou à un recyclage professionnel ne peuvent quant à elles être versées, dans la règle, que si la formation initiale ne permet pas de réaliser un revenu assurant l'existence et s'il est probable que la mesure envisagée permettra, indépendamment des préférences personnelles, d'atteindre cet objectif (directives CSIAS, H.6). b) Pour le Tribunal fédéral, lorsque la formation est conçue comme une mesure d'intégration sociale, par exemple lorsqu'il s'agit d'un reclassement professionnel susceptible d'être pris en charge par l'assurance-invalidité, l'aide sociale doit être allouée dans l'attente d'une décision relative à la prise en charge de cette formation par l'assurance sociale concernée, à tout le moins lorsque la situation d'indigence est engendrée par la durée de la procédure, mais pour autant qu'il ne s'avère pas au cours de celle-ci que la nouvelle orientation correspond en réalité à un choix strictement personnel de l'intéressé (arrêt non publié du 11 septembre 2001 dans la cause 2P.59/2001). 5.                     En l'espèce, le recourant oppose au refus de principe de l'autorité - fondé comme vu plus haut sur la stricte application du principe de la subsidiarité et de celui de la "Selbsthilfe" qui en est le corollaire - le fait que l'aide ne lui serait accordée que pour quelques mois, dans l'attente de pouvoir demander une nouvelle bourse d'études à l'EPFL, respectivement que son épouse puisse trouver un travail stable. Au regard des considérants qui précèdent, cette argumentation ne saurait être reçue. a) Le recourant, qui poursuit une formation post-obligatoire, ne saurait invoquer la garantie constitutionnelle de l'enseignement de base de l'art. 19 Cst. Il ne saurait non plus se prévaloir de l'art. 41 al. 1 lit. f Cst, qui ne prévoit qu'un engagement général de la Confédération et des cantons à ce que soient fournies des formations initiales et continues correspondant aux aptitudes des intéressés. Or, ne font échec à cet objectif, ni le fait que l'aide à la formation s'opère, en vertu du principe de la subsidiarité, par le renvoi à demander l'octroi d'une bourse, ni le fait que les cantons, souverains en la matière, subordonnent l'octroi de ces bourses à des conditions particulières et n'en assurent donc l'octroi que dans une mesure restreinte. b) Enfin, il n'apparaît pas que le recourant se soit trouvé dans le dénuement en tant qu'il ait été privé de mettre en valeur sa capacité de gain. Il ne soutient ni ne démontre que, comme par le passé, il ne pouvait poursuivre ses études en travaillant, respectivement en cherchant à retrouver un travail conciliable avec ses études tout en bénéficiant de l'aide financière, sinon de son épouse, des parents de celle-ci qui, comme il le relève dans le cadre de son pourvoi, ont momentanément offert leur aide au couple. Echappe dès lors à la critique le fait pour l'autorité intimée d'avoir refusé de pallier une situation d'indigence qui s'avère résulter d'un choix personnel. 6.                     De ce qui précède, il résulte que l'aide sociale n'avait pas à être octroyée en complément des ressources - effectives et potentielles - du couple X.________. Fondée, la décision attaquée est dès lors confirmée et le recours rejeté en conséquence, sans suite de frais pour son auteur (art. 15 al. 2 RPAS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