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PS.2002.0076 vom 8. September 2003</w:t>
      </w:r>
    </w:p>
    <w:p>
      <w:r>
        <w:t>VD Tribunal cantonal, 2003-09-08, FR</w:t>
      </w:r>
    </w:p>
    <w:p>
      <w:r>
        <w:rPr>
          <w:b/>
        </w:rPr>
        <w:t xml:space="preserve">Quelle: </w:t>
      </w:r>
      <w:r>
        <w:t>https://mcp.opencaselaw.ch/entscheid/vd_omni_PS.2002.0076</w:t>
      </w:r>
    </w:p>
    <w:p>
      <w:r>
        <w:t>FR: VD_OMNI PS.2002.0076 du 8 septembre 2003</w:t>
      </w:r>
    </w:p>
    <w:p>
      <w:r>
        <w:t>IT: VD_OMNI PS.2002.0076 del 8 settembre 2003</w:t>
      </w:r>
    </w:p>
    <w:p>
      <w:pPr>
        <w:pStyle w:val="Heading2"/>
      </w:pPr>
      <w:r>
        <w:t>Regeste</w:t>
      </w:r>
    </w:p>
    <w:p>
      <w:r>
        <w:t>c/Service de l'emploi | Les conditions d'une révision des décisions allouant les indemnités de chômage sont remplies lorsque l'assurée n'a pas déclaré un gain intermédiaire pendant la période en cause.</w:t>
      </w:r>
    </w:p>
    <w:p>
      <w:pPr>
        <w:pStyle w:val="Heading2"/>
      </w:pPr>
      <w:r>
        <w:t>Erwägungen</w:t>
      </w:r>
    </w:p>
    <w:p>
      <w:r>
        <w:rPr>
          <w:b/>
        </w:rPr>
        <w:t>E. 1</w:t>
      </w:r>
    </w:p>
    <w:p>
      <w:r>
        <w:t>LACI prévoit que la caisse est tenue d'exiger du bénéficiaire la restitution des prestations de l'assurance-chômage auxquelles il n'avait pas droit. Mais la restitution des prestations suppose que les conditions permettant une modification de la décision par laquelle les prestations ont été allouées soient remplies (ATF 122 V 367 consid. 3 p. 368). La jurisprudence distingue trois cas dans lesquels une décision en force peut faire l’objet d’une modification. aa) En premier lieu, une décision peut être modifiée aux mêmes conditions que celles applicables à la révision des décisions et arrêts des autorités judiciaires. Le Tribunal fédéral avait admis en droit fiscal, la possibilité de réviser les décisions de taxation en force et définitives comme une garantie de procédure découlant de l'art. 4 de l'ancienne Constitution fédérale de 1874 (aCst) lorsque les conditions applicables à la révision des arrêts du Tribunal fédéral posées aux art. 136 et 137 OJ étaient remplies (ATF 74 I 406 consid. 3; voir ultérieurement les ATF 111 Ib 210-211 consid. 1, 105 Ib 251-252 consid. 3a,103 Ib 88 consid. 1; ainsi que G. Steinmann , Die Revision im Wehrsteurrecht, in Revue fiscale n° 34 p. 194 ss). Le Tribunal fédéral a ensuite appliqué cette jurisprudence au droit cantonal (ATF 76 I 7, 78 I 200). Ainsi, la révision d’une décision doit être admise comme un droit constitutionnel déduit de la constitution, même lorsqu'elle n'est pas prévue par un texte légal ; la jurisprudence a précisé de la manière suivante les conditions requises pour admettre la révision d’une décision en force : l'autorité a rendu la décision en violation des règles essentielles de procédure; elle n'a pas tenu compte de faits importants qui ressortent du dossier; le requérant invoque des faits ou des moyens de preuve dont il n'aurait pas pu faire état dans la procédure antérieure. Mais il n'y a pas lieu à révision si celle-ci tend à faire corriger une erreur de droit ou à faire adopter une autre théorie juridique, ni non plus si la demande est fondée sur une nouvelle appréciation des faits connus au moment où la décision a été prise. Une modification de la pratique ou de la jurisprudence suivie jusqu'alors ainsi que des arguments que l’administré aurait pu faire valoir déjà dans la procédure de recours ne sont pas des motifs de révision (ATF 98 Ia 568 consid. 5b 572-573 = JT 1974 I 194). L’art. 53 de la loi sur la partie générale du droit des assurances sociales du 6 octobre 2000 (LPGA), prévoit à son alinéa 1 la possibilité de soumettre à révision les décisions formellement passées en force mais en limitant le motif de révision uniquement à celui de la découverte de “ faits nouveaux ” importants ou de moyens de preuves qui ne pouvaient être produits auparavant. Cette limitation n’empêche toutefois pas que les autres motifs de révision admis pour les arrêts des autorités judiciaires s’appliquent aussi aux décisions entrées en force en matière d’assurances sociales, en particulier ceux prévus aux art. 136, 137 OJ et 66 PA. bb) Une décision en force peut également être modifiée lorsque les conditions requises pour un réexamen de la décision sont remplies. Le Tribunal fédéral a aussi déduit de l'ancien art. 4 aCst que l'autorité était tenue de se saisir d'une demande de nouvel examen si les circonstances s'étaient modifiées dans une mesure notable depuis la première décision ou si le requérant invoquait des faits et des moyens de preuve importants qu'il ne connaissait pas lors de la première décision ou dont il ne pouvait pas se prévaloir ou n'avait pas de raison de se prévaloir à cette époque (ATF 100 Ib 371 consid. 3a). L'autorité saisie d'une demande de réexamen doit d'abord contrôler si les conditions requises pour l'obliger à statuer sont remplies et dans l'affirmative entrer en matière sur le fond, au besoin compléter l'instruction et rendre une nouvelle décision au fond contre laquelle les voies de droit habituelles sont ouvertes. Si elle estime que les conditions pour une entrée en matière ne sont pas remplies elle peut refuser d'examiner le fond, le requérant pouvant alors recourir en se plaignant du fait que l'autorité inférieure aurait nié à tort l'existence d'un motif justifiant le nouvel examen. La requête de nouvel examen est donc admissible non seulement pour les motifs de révision énoncés aux art. 66 et 67 PA et 137 à 143 OJ, mais également en cas de modification notable des circonstances depuis la première décision (ATF 109 Ib 251, consid. 4a; voir aussi ATF 113 Ia 150-151 consid. 3a). cc) Enfin, la jurisprudence du Tribunal fédéral des assurances a offert aux caisses d’assurance la possibilité de reconsidérer une décision formellement passée en force si elle est manifestement erronée et si sa modification revêt une importance notable (ATF 122 V 368 consid. 3). Cette solution a été reprise à l’art. 53 al. 2 LPGA. Une décision est manifestement erronée lorsqu’elle repose sur une fausse ou une mauvaise appréciation du droit ou lorsque l’inexactitude est révélée par des faits  nouveaux postérieurs à la décision en cause constituant un motif de réexamen ou des moyens de preuve nouveaux qui justifieraient de toute manière la révision de cette décision. La rectification revêt une importance notable en fonction du montant des prestations en cause ; mais la jurisprudence a précisé que le caractère important d’une rectification ne peut être déterminé sur la base d’un montant maximum fixé de manière générale ; il a toutefois été jugé qu’une créance en restitution d’un montant de 706 fr. était suffisamment importante (DTA 2000 n°40 p. 28). b) En l'espèce, les conditions d'une révision des décisions par lesquelles les indemnités ont été allouées à la recourante pour les périodes de contrôle des mois de janvier à juillet 2001 sont remplies. En effet, la recourante n'a pas fait état du revenu réalisé pendant ces périodes; il s'agit donc d'un fait nouveau, c'est à dire d'un fait que l'autorité n'était pas en mesure de découvrir au moment où les indemnités ont été versées et qui justifient la révision des décisions-décomptes; la caisse de chômage doit en effet  prendre en considération les gains intermédiaires réalisés pendant ces périodes de contrôle pour déterminer le montant des indemnités de chômage auxquelles la recourante avait effectivement droit. Cette circonstance justifie également une reconsidération de la décision dès lors que le montant des prestations allouées à la recourante était manifestement inexact en ne tenant pas compte des gains intermédiaires réalisés. La recourante fait état de sa situation financière difficile. Toutefois, cette circonstance peut être prise en considération dans le cadre de la procédure ultérieure de demande de remise de l'obligation de restituer que la recourante peut encore engager à la suite de la confirmation de la décision de restitution des prestations versées à tort. 3.                     Il résulte des considérants qui précèdent que le recours doit être rejeté et la décision attaquée maintenue. Il n'y a en outre pas lieu de percevoir de frais de justice ni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