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PS.2001.0123 vom 13. Januar 2005</w:t>
      </w:r>
    </w:p>
    <w:p>
      <w:r>
        <w:t>VD Tribunal cantonal, 2005-01-13, FR</w:t>
      </w:r>
    </w:p>
    <w:p>
      <w:r>
        <w:rPr>
          <w:b/>
        </w:rPr>
        <w:t xml:space="preserve">Quelle: </w:t>
      </w:r>
      <w:r>
        <w:t>https://mcp.opencaselaw.ch/entscheid/vd_omni_PS.2001.0123</w:t>
      </w:r>
    </w:p>
    <w:p>
      <w:r>
        <w:t>FR: VD_OMNI PS.2001.0123 du 13 janvier 2005</w:t>
      </w:r>
    </w:p>
    <w:p>
      <w:r>
        <w:t>IT: VD_OMNI PS.2001.0123 del 13 gennaio 2005</w:t>
      </w:r>
    </w:p>
    <w:p>
      <w:pPr>
        <w:pStyle w:val="Heading2"/>
      </w:pPr>
      <w:r>
        <w:t>Regeste</w:t>
      </w:r>
    </w:p>
    <w:p>
      <w:r>
        <w:t>X c/Caisse cantonale de chômage, Office régional de placement de l'Ouest Lausannois ORPOL, Service de l'emploi | La recourante, qui refuse une diminution temporaire de salaire de 10%, sachant que ce refus entraînera son licenciement, commet une faute légère justifiant une suspension du droit aux indemnités de douze jours. Le congé-modification n'est en l'occurence pas abusif.</w:t>
      </w:r>
    </w:p>
    <w:p>
      <w:pPr>
        <w:pStyle w:val="Heading2"/>
      </w:pPr>
      <w:r>
        <w:t>Erwägungen</w:t>
      </w:r>
    </w:p>
    <w:p>
      <w:r>
        <w:rPr>
          <w:b/>
        </w:rPr>
        <w:t>E. 1</w:t>
      </w:r>
    </w:p>
    <w:p>
      <w:r>
        <w:t>Déposé dans le délai de trente jours fixé par l'art. 103 al. 3 de la loi fédérale du 25 juin 1982 sur l'assurance-chômage obligatoire et l'indemnité en cas d'insolvabilité (LACI), alors en vigueur, le recours est intervenu en temps utile. Il est au surplus recevable en la forme.</w:t>
      </w:r>
    </w:p>
    <w:p>
      <w:r>
        <w:rPr>
          <w:b/>
        </w:rPr>
        <w:t>E. 2</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OFIAMT, circulaire IC 1.01.92 ch. 222 p. 80).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OFIAMT, circulaire IC 01.92 p. 80).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En l'espèce, les pièces au dossier ne permettent pas de savoir si les mauvais rapports entre la recourante et son chef ont joué un rôle dans la décision de ce dernier de mettre fin au contrat de travail. Il n'est toutefois pas nécessaire de trancher ce point dans la mesure où, finalement, est seule décisive la question de la baisse de salaire, soit de savoir si la recourante a commis une faute en refusant la diminution de son salaire, sachant que ce refus est la cause de son renvoi.</w:t>
      </w:r>
    </w:p>
    <w:p>
      <w:r>
        <w:rPr>
          <w:b/>
        </w:rPr>
        <w:t>E. 3</w:t>
      </w:r>
    </w:p>
    <w:p>
      <w:r>
        <w:t>Le congé-modification se définit comme une résiliation liée à une offre de poursuivre les rapports de travail à des conditions modifiées, laquelle est licite si la modification proposée ne doit entrer en vigueur qu'après l'écoulement du délai de résiliation du contrat en cause, sauf si elle tend à obtenir de la partie adverse des avantages objectivement injustifiés (Rémy Wyler, Droit du travail, p. 70; v. aussi Christiane Brunner/Jean-Michel Bühler/Jean-Bernard Waeber, Commentaire du contrat de travail, 2 ème éd., p.172, no 7). Au sens étroit, le congé-modification se caractérise par  le fait qu'une partie résilie le contrat de travail,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consensuelle des rapports de travail. Selon le Tribunal fédéral, le congé-modification est abusif lorsqu'il sert de moyen de pression pour imposer au partenaire contractuel une modification défavorable du contrat dépourvue de toute justification matérielle, soit pour un motif qui n'est pas digne d'être protégé, soit lorsque ni la marche de l'entreprise ni encore le marché du travail ne justifient une modification des conditions de travail (ATF 123 III 246, JT 1998 I 300 cons. 3b). L'employeur qui veut réduire le salaire du travailleur doit recourir au congé-modification (JAR 1998, p.134). Lors de leur entretien du 29 juin 2000, tant la recourante que son employeur savaient qu'au cas où la proposition de diminution de salaire serait refusée, le contrat de travail serait résilié. Il s'agit donc bien d'un congé-modification. Il n'apparaît toutefois pas que l'employeur se soit servi du congé comme moyen de représailles pour punir la recourante de ne pas avoir accepté une modification matériellement illicite de son contrat. Au contraire, le motif économique sur lequel cette modification reposait est parfaitement licite. La recourante n'a d'ailleurs jamais prétendu que le contraire. Quant à la diminution proposée, elle était relativement modérée : le salaire, alors de 3'850 fr., indemnités de vacances non comprises, aurait encore été de 3'465 fr. Il semble en outre que cette proposition tendait à éviter le licenciement de la recourante et que la réduction de salaire ne devait être que temporaire. On ne peut dès lors pas considérer le congé comme abusif, ce d'autant plus que le délai de congé a été respecté.</w:t>
      </w:r>
    </w:p>
    <w:p>
      <w:r>
        <w:rPr>
          <w:b/>
        </w:rPr>
        <w:t>E. 4</w:t>
      </w:r>
    </w:p>
    <w:p>
      <w:r>
        <w:t>Conformément au principe de l'obligation de diminuer le dommage, l'assuré doit s'efforcer de faire tout ce qui est en son pouvoir pour réduire le dommage ou éviter la réalisation du risque assuré (DTA 1981, n° 29). Selon le Tribunal fédéral, dans l'optique du droit régissant l'assurance-chômage, on peut demander à un assuré d'accepter une modification de son contrat de travail qui est requise par l'employeur et qui entraîne une faible perte de salaire (DTA 1986, p. 90). La Haute Cour a ainsi considéré qu'une diminution de salaire de 10%, laissant néanmoins un revenu supérieur aux indemnités de chômage de 80% du gain assuré, permettait d'exiger la continuation des rapports de travail. Il n'en va pas différemment dans le cas particulier. Comme on l'a vu, la réduction de salaire proposée à la recourante ne la plaçait financièrement pas dans une situation insupportable. Le montant qu'elle aurait obtenu était d'ailleurs à peine inférieur à celui qu'elle touchait à son engagement. Bien qu'une telle mesure ne soit pas agréable, on pouvait attendre de la recourante qu'elle garde son emploi en acceptant l'offre de son employeur, au moins jusqu'à ce qu'elle trouve un autre travail mieux rétribué. Sachant que son refus entraînerait son licenciement et sans avoir préalablement trouvé un autre emploi, la recourante a commis une faute qui devait être sanctionnée par la caisse.</w:t>
      </w:r>
    </w:p>
    <w:p>
      <w:r>
        <w:rPr>
          <w:b/>
        </w:rPr>
        <w:t>E. 5</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Cependant, dans un arrêt B. non publié du 15 février 1999 (C 226/98), confirmé par arrêt non publié du 17 août 1999 (C 31/99), le Tribunal fédéral des assurances a considéré que, dans les cas de suspension pour le motif prévu à l'art. 44 al. 1 lit. b, l'art. 45 al. 3 OACI ne constituait qu'un principe dont l'administration et le juge pouvaient s'écarter lorsque des circonstances particulières le justifiaient. Dans ce sens, le pouvoir d'appréciation de l'une et de l'autre n'est pas limité à la durée minimum de suspension fixée pour les cas de faute grave. Les circonstances du cas d'espèce jouent un rôle plus important dans l'appréciation de la faute lorsque l'assuré quitte son emploi que lorsqu'il refuse un emploi convenable qui lui est assigné au sens de l'art. 30 al. 1er litt. d LACI (DTA 2000 n° 9 p. 45, 50). Vu les circonstances, la faute de la recourante a été qualifiée à juste titre de légère. En fixant la durée de la suspension du droit aux indemnités à douze jours, la caisse n'a pas outrepassé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