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PE.2025.0130 vom 27. Oktober 2025</w:t>
      </w:r>
    </w:p>
    <w:p>
      <w:r>
        <w:t>VD Tribunal cantonal, 2025-10-27, FR</w:t>
      </w:r>
    </w:p>
    <w:p>
      <w:r>
        <w:rPr>
          <w:b/>
        </w:rPr>
        <w:t xml:space="preserve">Quelle: </w:t>
      </w:r>
      <w:r>
        <w:t>https://mcp.opencaselaw.ch/entscheid/vd_omni_PE.2025.0130</w:t>
      </w:r>
    </w:p>
    <w:p>
      <w:r>
        <w:t>FR: VD_OMNI PE.2025.0130 du 27 octobre 2025</w:t>
      </w:r>
    </w:p>
    <w:p>
      <w:r>
        <w:t>IT: VD_OMNI PE.2025.0130 del 27 ottobre 2025</w:t>
      </w:r>
    </w:p>
    <w:p>
      <w:pPr>
        <w:pStyle w:val="Heading2"/>
      </w:pPr>
      <w:r>
        <w:t>Regeste</w:t>
      </w:r>
    </w:p>
    <w:p>
      <w:r>
        <w:t>A.________/Service de la population (SPOP) | En refusant de prolonger l'autorisation de séjour d'un ressortissant de RDC qui a déjà obtenu une maîtrise en sciences de l'information auprès d'une université suisse et souhaite entreprendre une formation universitaire en vue d'obtenir une maîtrise en sciences de l'innovation, l'autorité intimée n'a pas abusé de son pouvoir d'appréciation. En principe, une seule formation est admise. Le recourant peut déjà se prévaloir d’une solide formation universitaire en vue de poursuivre sa carrière professionnelle dans l’innovation technologique et il n’est pas suffisamment établi que l’obtention d’un titre universitaire supplémentaire doive impérativement s’effectuer en Suisse. Enfin, des indices concrets font douter du retour volontaire du recourant dans son pays d'origine au terme de sa formation.</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par le destinataire de la décision attaquée, le recours satisfait pour le surplus aux exigences formelles prévues par la loi, de sorte qu'il y a lieu d'entrer en matière sur le fond (art. 95 ainsi que 75, 79 et 99 LPA-VD).</w:t>
      </w:r>
    </w:p>
    <w:p>
      <w:r>
        <w:rPr>
          <w:b/>
        </w:rPr>
        <w:t>E. 2</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de la République démocratique du Congo, le recourant ne peut invoquer aucun traité en sa faveur; le recours s'examine ainsi uniquement au regard du droit interne, soit la loi fédérale du 16 décembre 2005 sur les étrangers et l'intégration (LEI; RS 142.20) et ses ordonnances d’application.</w:t>
      </w:r>
    </w:p>
    <w:p>
      <w:r>
        <w:rPr>
          <w:b/>
        </w:rPr>
        <w:t>E. 3</w:t>
      </w:r>
    </w:p>
    <w:p>
      <w:r>
        <w:t>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TF  2D_5/2025 du 30 avril 2025 consid. 4.2.1; 2C_141/2025 du 5 mars 2025 consid. 4.4 et le Message du Conseil fédéral précité, in : FF 2002 3485, ch. 1.2.3). Les autorités disposent donc d'un large pouvoir d'appréciation;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TAF F-1677/2016 du 6 décembre 2016 consid. 7.1, réf. citée). b) Aux termes de l'art. 23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arrêts TAF F-2045/2022 du 2 février 2023 consid. 8.3.1;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C-6702/2011 du 14 février 2013 consid. 7.2.2 et les références citées). La jurisprudence distingue à cet égard l'hypothèse où il s’agit pour l’étudiant étranger d’entreprendre un nouveau cycle d’études de base qui ne constitue pas un complément indispensable à sa formation préalable (CDAP arrêts PE.2019.0178 du 19 septembre 2019; PE.2017.0177 du 30 avril 2018; PE.2016.0169 du 24 novembre 2016 consid. 3b; PE.2015.0358 du 29 décembre 2015 consid. 1a; v. aussi arrêts TAF F-7490/2024 du 20 février 2025 consid. 7.3.2; F-725/2024 du 11 février 2025 consid. 6.1; C-4292/2014 du 16 juillet 2015 consid. 7.2.2; C-820/2011 du 27 septembre 2013 consid. 8.2.2; C-6702/2011 du 14 février 2013 consid. 7.2.2). Tel est le cas, notamment, lorsque le requérant a entrepris un cycle d’études ayant débouché sur l’obtention d’un master, de telle sorte qu’il puisse déjà se prévaloir d’une solide formation universitaire en vue de poursuivre sa carrière professionnelle (arrêt TAF F-3653/2021 du 16 septembre 2022 consid. 9.10; dans le même sens, F-3400/2024 du 27 novembre 2024 consid. 7.5). Au regard de l’art. 23 al. 3 OASA, une seule formation ou un seul perfectionnement est en principe admis (TAF C-2525/2009 du 19 octobre 2009 consid. 7.2; CDAP arrêt PE.2024.0104 du 28 janvier 2025 consid. 2b). Une formation ou un perfectionnement sont en principe admis pour une durée maximale de huit ans. Des dérogations peuvent être accordées en vue d'une formation ou d'un perfectionnement visant un but précis; elles doivent être soumises au Secrétariat d'Etat aux migrations [SEM] pour approbation (SEM, Directives et commentaires, I. Domaine des étrangers [Directives LEI], état au 15 septembre 2025, ch. 5.1.1.5).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Critiquant cette pratique, le Tribunal fédéral a du reste jugé qu’il était discriminatoire au regard de l’art. 8 al. 2 Cst. de se fonder uniquement ou du moins de manière prépondérante sur l'âge du requérant pour lui refuser une autorisation de séjour pour études, respectivement la prolongation de celle-ci (ATF 147 I 89 consid. 2 p. 95s., not. 2.6 p. 100, références citées). Il a estimé que ce refus ne se justifiait ni par la volonté d'appliquer une politique migratoire restrictive et d'assurer le départ des étudiants étrangers à la fin de leur formation en Suisse (consid. 2.5 et 2.6, pp. 99/100), ni par l'intérêt à privilégier la venue de jeunes étudiants (consid. 2.7 et 2.8, pp. 101/102). Le Tribunal fédéral a cependant admis, comme il l’a rappelé dans l’ATF précité (ibid.), qu'un canton pouvait refuser toute aide financière à la formation aux personnes de plus de 40 ans sans violer le principe précité. Une telle mesure répondait aux objectifs légitimes de limiter les dépenses étatiques et d'utiliser les moyens disponibles avant tout pour les jeunes voulant débuter une première formation (cf. arrêt TF 2C_139/2012 du 30 mai 2012 consid. 2.3). De même, le Tribunal fédéral a nié l'existence d'un droit à une autorisation de séjour pour études en lien avec une discrimination fondée sur l'âge, relevant notamment qu'il n'était pas exclu que l'autorisation de séjour pour études sollicitée puisse être refusée en tenant compte d'autres critères que l'âge, l'autorité jouissant en la matière d'un large pouvoir d'appréciation (ATF 147 I 89 consid. 1.1.5 p. 93). c) A teneur de l’art. 27 al. 3 LEI, la poursuite du séjour en Suisse après l’achèvement ou l’interruption de la formation ou de la formation continue est régie par les conditions générales d’admission prévues par la présente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des articles 5 al. 2 LEI, qui impose à l’étranger qui prévoit un séjour temporaire d’apporter la garantie qu’il quittera la Suisse, et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4. a) En l’occurrence, le recourant critique la décision attaquée en ce que l’autorité intimée aurait perdu de vue que la formation qu’il a entreprise en février 2025 à l’Université de Neuchâtel serait complémentaire à son parcours d’études initial. Selon ses explications, cette formation lui permettrait d’approfondir ses connaissances en systèmes d’informations, notamment s’agissant de l’intelligence artificielle, ainsi qu’en gestion économique et managériale, et s’inscrirait dans son projet visant à développer une approche humaniste de l’innovation technologique. Il fait valoir qu’une entreprise ayant conclu un partenariat avec le gouvernement de RDC l’aurait contacté en vue de recourir à ses services comme consultant pour des projets en digitalisation et innovations numériques, à développer sur le continent africain. Il se plaint en outre d’une violation du principe de non-discrimination, dès l’instant où l’autorité intimée a rappelé que la priorité devait être donnée aux jeunes étudiants étrangers désireux d’acquérir une première formation en Suisse. Il reproche ainsi à l’autorité intimée de s’être fondée de manière prépondérante sur son âge, 36 ans, pour lui refuser l’autorisation requise. Concernant les conditions énoncées à l’art. 27 al. 1 LEI on peut hésiter, au vu de la demande d’assistance judiciaire qu’il a remplie, à retenir que le recourant dispose des moyens financiers nécessaires à cette formation; toutefois, l’autorité intimée elle-même ne remet pas ce point en question dans la décision attaquée. b) Si la nécessité de poursuivre des études en Suisse ne constitue pas une des conditions posées à l'art. 27 LEI pour l'obtention d'une autorisation de séjour en vue d'une formation, il n'en demeure pas moins que cette question doit être examinée sous l'angle du large pouvoir d'appréciation conféré à l'autorité (cf. supra, consid. 3a), que le Tribunal se doit de respecter. Or, contrairement à ce que soutient le recourant, l’autorité intimée ne s’est pas principalement fondée sur son âge pour lui refuser la délivrance de l’autorisation requise. Elle a considéré que le précédent séjour temporaire du recourant avait atteint son but et qu’en principe, une seule formation était admise (cf. art. 23 al. 3 OASA). En effet, on gardera à l’esprit que le recourant a déjà pu suivre en Suisse un cycle d’études ayant débouché sur l’obtention d’un master en Sciences de l'information en juin 2023, de sorte qu’il peut, à ce stade, déjà se prévaloir d’une solide formation universitaire en vue de poursuivre sa carrière professionnelle dans l’innovation technologique. En outre, il n’est pas suffisamment établi que l’obtention d’un titre universitaire supplémentaire doive impérativement s’effectuer en Suisse, ce d’autant moins que le cursus envisagé doit aboutir à la délivrance d’un diplôme de même degré (maîtrise) que celui déjà acquis ici. C’est donc en vain que le recourant invoque l’interdiction de la discrimination. On ne saurait dès lors retenir que l’autorité intimée ait abusé, en refusant au recourant la prolongation de l’autorisation pour études, du pouvoir d’appréciation qui lui est reconnu en la matière. c) Enfin, aux intérêts personnels du recourant s'oppose l'intérêt public tel qu'il résulte de l’évolution socio-démographique de la Suisse. Dans ces conditions, même si le Tribunal n'entend pas contester l'utilité que pourrait constituer la formation projetée en Suisse et peut comprendre les aspirations légitimes du recourant à cet égard, il n’apparaît pas que des raisons suffisantes soient de nature à justifier la délivrance de l'autorisation de séjour requise, au regard aussi de la politique d'admission plutôt restrictive que les autorités suisses sont amenées à adopter en la matière. On ne perdra par ailleurs pas de vue que le recourant a requis en vain par le passé une autorisation de séjour afin d’exercer une activité lucrative en Suisse, d’une part, et qu’il avait annoncé aux autorités un retour volontaire en RDC avant de se rétracter, d’autre part. Ces indices concrets tendent à faire sérieusement douter du retour volontaire du recourant dans son pays d’origine au terme de la formation envisagée. 5. a) Il suit de ce qui précède que le recours doit être rejeté et la décision attaquée, confirmée. Vu les art. 64 al. 1 let. c et 64d al. 1 LEI, un nouveau délai de départ sera imparti au recourant. b) Bien que le sort du recours commande que le recourant en supporte les frais (art. 49 al. 1, 91 et 99 LPA-VD), le Tribunal y renoncera au vu des circonstances (cf. art. 50 LPA-VD), ce qui rend sans objet la demande d’assistance judiciaire. L’allocation de dépens n’entre pas en considération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