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PE.2025.0111 vom 15. August 2025</w:t>
      </w:r>
    </w:p>
    <w:p>
      <w:r>
        <w:t>VD Tribunal cantonal, 2025-08-15, FR</w:t>
      </w:r>
    </w:p>
    <w:p>
      <w:r>
        <w:rPr>
          <w:b/>
        </w:rPr>
        <w:t xml:space="preserve">Quelle: </w:t>
      </w:r>
      <w:r>
        <w:t>https://mcp.opencaselaw.ch/entscheid/vd_omni_PE.2025.0111</w:t>
      </w:r>
    </w:p>
    <w:p>
      <w:r>
        <w:t>FR: VD_OMNI PE.2025.0111 du 15 août 2025</w:t>
      </w:r>
    </w:p>
    <w:p>
      <w:r>
        <w:t>IT: VD_OMNI PE.2025.0111 del 15 agosto 2025</w:t>
      </w:r>
    </w:p>
    <w:p>
      <w:pPr>
        <w:pStyle w:val="Heading2"/>
      </w:pPr>
      <w:r>
        <w:t>Regeste</w:t>
      </w:r>
    </w:p>
    <w:p>
      <w:r>
        <w:t>A.________/Service de la population (SPOP) | Révocation de l'autorisation de séjour par regroupement familial d'un ressortissant capverdien, qui s'est séparé de son épouse après moins de 2 ans de vie commune. Selon la jurisprudence, l'existence d'une procédure judiciaire en cours, y compris une procédure de divorce, ne constitue pas une raison personnelle majeure au sens de l'art. 50 al. 1 let. b LEI. Pas d'autres éléments justifiant la poursuite du séjour en Suisse de l'intéressé. Recours rejeté selon la procédure simplifiée de l'art. 82 LPA-VD.</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révocation de l'autorisation de séjour du recourant et le renvoi de Suisse de l'intéressé.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de sorte qu'il y a lieu d'entrer en matière sur le fond (art. 95 ainsi que 75 et 79 LPA-VD; applicables par renvoi de l'art. 99 LPA-VD).</w:t>
      </w:r>
    </w:p>
    <w:p>
      <w:r>
        <w:rPr>
          <w:b/>
        </w:rPr>
        <w:t>E. 2</w:t>
      </w:r>
    </w:p>
    <w:p>
      <w:r>
        <w:t>Le recourant se plaint d'une violation de l'art. 50 al. 1 let. b de la loi fédérale du 16 décembre 2005 sur les étrangers et l'intégration (LEI; RS 142.20). Il reproche à l'autorité intimée d'avoir nié l'existence de raisons personnelles majeures. Il invoque à cet égard la procédure de divorce à venir, qui imposerait selon lui la poursuite de son séjour en Suisse afin de garantir son droit à un procès équitable. Il se prévaut également de son intégration, notamment professionnelle. a) Aux termes de l'art. 50 al. 1 let. b LEI, après dissolution de la famille, le conjoint et les enfants ont droit à l’octroi d’une autorisation de séjour et à la prolongation de sa durée de validité en vertu de l’art. 42, 43 ou 44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137 II 345 consid. 3.2.1). Selon l'art. 50 al. 2 LEI, les raisons personnelles majeures au sens de l'art. 50 al. 1 let. b LEI sont notamment données lorsque le conjoint ou un enfant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(ATF 136 II 1 consid. 5.3; TF 2C_861/2015 du 11 février 2016 consid. 4; TF 2C_982/2010 du 3 mai 2011 consid. 3.3; TF 2C_590/2010 du 29 novembre 2010 consid. 2.5.2).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"raisons personnelles majeures"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ATF 137 II 345;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TF 2C_1125/2018 du 7 janvier 2019 consid. 6.2 et les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ATF 137 II 345 consid. 3.2.3; TF 2C_145/2019 du 24 juin 2019 consid. 3.7; TF 2C_201/2019 du 16 avril 2019 consid. 5.1; TF 2C_12/2018 du 28 novembre 2018 consid. 3.4). b) En l'espèce, le recourant ne peut tirer aucun argument de la procédure de divorce en cours pour pouvoir prétendre à demeurer en Suisse sur la base de l'art. 50 al. 1 let. b LEI. Le Tribunal fédéral a en effet déjà jugé que l'existence d'une procédure judiciaire en cours, y compris une procédure de divorce, ne constituait pas une raison personnelle majeure au sens de cette disposition (cf. TF 2C_298/2022 du 4 mai 2022 consid. 5.2; ég. arrêts PE.2022.0092 du 26 octobre 2022 consid. 3e; PE.2021.0118 du 11 mars 2022 consid. 9; PE.2018.0386 du 14 novembre 2018 consid. 3a et les références), rappelant à cet égard que l'étranger pouvait se faire représenter ou encore être dispensée de comparaître personnellement (cf. TF 2C_298/2022 précité consid. 5.2 et sa référence à l'art. 278 du Code de procédure civile du 19 décembre 2008 [CPC; RS 272], qui dispose que le tribunal peut dispenser les parties à une procédure de divorce de comparaître personnellement aux audiences en raison de leur état de santé, de leur âge ou "de tout autre juste motif"). Tout le développement de l'intéressé sur le coût que représenterait chaque trajet pour assister aux audiences tombe dès lors à faux. Sur le plan de l'intégration, le recourant expose parler français, avoir un emploi lui permettant d'être autonome financièrement et s'être constitué un cercle de relations proches. Ces éléments ne sont toutefois pas exceptionnels et ne permettent pas de retenir que les liens de l'intéressé avec la Suisse seraient tels qu'un retour au Cap-Vert ne serait pas exigible (cf., en autres, arrêt PE.2023.0147 du 27 octobre 2023 consid. 2). Pour le surplus, il convient de rappeler que le recourant a vécu les 38 premières années de son existence au Cap-Vert. Il y a ainsi passé son enfance, son adolescence et une partie de sa vie d'adulte, années qui apparaissent comme essentielles pour la formation de la personnalité et, partant, pour l'intégration sociale et culturelle (cf. en particulier TF 2C_196/2014 du 19 mai 2014 consid. 4.2; TF 2C_1188/2012 du 17 avril 2013 consid. 4.2). Ses racines socio-culturelles se trouvent dès lors dans ce pays, où il a certainement conservé un cercle d'amis et de connaissances susceptibles de favoriser son retour. Son bref séjour en Suisse d'un peu plus de deux ans et demi n'a pas pu lui faire perdre tous ses repères au Cap-Vert. L'autorité intimée n'a dès lors pas violé le droit, ni abusé de son pouvoir d'appréciation, en niant l'existence de raisons personnelles majeures.</w:t>
      </w:r>
    </w:p>
    <w:p>
      <w:r>
        <w:rPr>
          <w:b/>
        </w:rPr>
        <w:t>E. 3</w:t>
      </w:r>
    </w:p>
    <w:p>
      <w:r>
        <w:t>Le recourant dénonce également une violation du principe de proportionnalité, faisant valoir que tant sous l'angle des intérêts privés que publics, la poursuite de son séjour en Suisse se justifierait. Il lui échappe toutefois que, lorsque les conditions légales pour se prévaloir d'un droit à une autorisation de séjour (ou au maintien de celle-ci) ne sont pas remplies, comme en l'espèce, les autorités ne jouissent pas d'un pouvoir d'appréciation dans le cadre duquel il y aurait lieu de procéder, conformément à l'art. 96 LEI, à un examen de la proportionnalité. Admettre l'inverse aurait pour effet de déduire de l'art. 96 LEI un droit à l'obtention, au maintien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 (cf. TF 2C_298/2022 précité consid. 6; TF 2C_566/2021 du 28 septembre 2021 consid. 6).</w:t>
      </w:r>
    </w:p>
    <w:p>
      <w:r>
        <w:rPr>
          <w:b/>
        </w:rPr>
        <w:t>E. 4</w:t>
      </w:r>
    </w:p>
    <w:p>
      <w:r>
        <w:t>Le recourant reproche enfin à l'autorité intimée d'avoir fixé un délai de départ trop court, ne tenant pas compte du délai de résiliation prévu par son contrat de travail. Un tel grief n'a plus d'objet, dès lors que le délai au 31 juillet 2025 imparti par la décision attaquée est désormais échu. Il appartiendra à l'autorité intimée de fixer un nouveau délai de départ, en application de l'art. 64d al. 1 LEI, selon lequel la décision de renvoi est assortie d'un délai de départ raisonnable de 7 à 30 jours, un délai de départ plus long étant imparti ou le délai de départ étant prolongé lorsque des circonstances particulières telles que la situation familiale, des problèmes de santé ou la durée du séjour le justifient.</w:t>
      </w:r>
    </w:p>
    <w:p>
      <w:r>
        <w:rPr>
          <w:b/>
        </w:rPr>
        <w:t>E. 5</w:t>
      </w:r>
    </w:p>
    <w:p>
      <w:r>
        <w:t>Manifestement mal fondé, le recours doit être rejeté selon la procédure simplifiée de l'art. 82 LPA-VD et la décision attaquée confirmée, sous réserve du délai de départ qui est, comme on l'a déjà relevé, désormais échu et qui devra être refixé par l'autorité intimée. Le recourant, qui succombe, supportera les frais de justice (art. 49 al.1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