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PE.2025.0095 vom 10. Oktober 2025</w:t>
      </w:r>
    </w:p>
    <w:p>
      <w:r>
        <w:t>VD Tribunal cantonal, 2025-10-10, FR</w:t>
      </w:r>
    </w:p>
    <w:p>
      <w:r>
        <w:rPr>
          <w:b/>
        </w:rPr>
        <w:t xml:space="preserve">Quelle: </w:t>
      </w:r>
      <w:r>
        <w:t>https://mcp.opencaselaw.ch/entscheid/vd_omni_PE.2025.0095</w:t>
      </w:r>
    </w:p>
    <w:p>
      <w:r>
        <w:t>FR: VD_OMNI PE.2025.0095 du 10 octobre 2025</w:t>
      </w:r>
    </w:p>
    <w:p>
      <w:r>
        <w:t>IT: VD_OMNI PE.2025.0095 del 10 ottobre 2025</w:t>
      </w:r>
    </w:p>
    <w:p>
      <w:pPr>
        <w:pStyle w:val="Heading2"/>
      </w:pPr>
      <w:r>
        <w:t>Regeste</w:t>
      </w:r>
    </w:p>
    <w:p>
      <w:r>
        <w:t>A.________, B.________/Direction générale de l'emploi et du marché du travail (DGEM), Service de la population (SPOP) | Confirmation de la décision de la DGEM refusant de délivrer un permis de travailleuse frontalière pour un emploi dans une station-service. Ressortissante d'un Etat tiers, l'employée pressentie ne bénéficie pas de l'ALCP, de sorte que son admission en vue de l'exercice d'une activité lucrative doit respecter le principe de la priorité des travailleurs résidants. En l'occurrence, l'employeur n'a pas démontré qu'il aurait effectué des recherches approfondies ni, a fortiori, que celles-ci ne lui auraient pas permis de trouver de travailleur en Suisse - ou de ressortissant d'un Etat avec lequel a été conclu un accord sur la libre circulation des personnes - répondant au profil requis.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w:t>
      </w:r>
    </w:p>
    <w:p>
      <w:r>
        <w:rPr>
          <w:b/>
        </w:rPr>
        <w:t>E. 2</w:t>
      </w:r>
    </w:p>
    <w:p>
      <w:r>
        <w:t>Le litige porte sur le refus de l’autorité intimée de délivrer une autorisation de travail frontalière à une ressortissante albanaise domiciliée en France. a) En matière d'autorisation de travail en Suisse, des règles différentes sont applicables aux ressortissants des Etats membres de la Communauté européenne ou de l’Association européenne de libre-échange, d’une part, et aux ressortissants d’Etats tiers, d’autre part. Ressortissante albanaise, B.________ ne peut bénéficier de la mobilité géographique et professionnelle prévue par l’Accord du 21 juin 1999 entre la Confédération suisse, d’une part, et la Communauté européenne et ses Etats membres, d’autre part, sur la libre circulation des personnes (ALCP; RS 0.142.112.681). Le présent recours doit en conséquence être examiné au regard du droit interne, soit de la loi fédérale du 16 décembre 2005 sur les étrangers et l'intégration (LEI; RS 142.20). b) aa) L'art. 11 LEI prévoit que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18 LEI, un ressortissant étranger peut être admis en vue de l'exercice d'une activité salariée à condition que son admission serve les intérêts économiques du pays (let. a), que son employeur ait déposé une demande (let. b) et que les conditions fixées aux art. 20 à 25 LEI soient remplies (let. c). La notion d' "intérêts économiques du pays"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PE.2024.0068 du 5 novembre 2024 consid. 3c/aa; PE.2023.0157 du 17 avril 2024 consid. 2b/bb; PE.2023.0070 du 14 décembre 2023 consid. 3b/aa). bb) En vertu de l’art. 21 LEI, intitulé "Ordre de priorité", un ressortissant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 (al. 2). Ainsi,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(cf. PE.2022.9143 du 8 avril 2025 consid. 3d; PE.2023.0157 du 17 avril 2024 consid. 2b/cc; PE.2023.0070 du 14 décembre 2023 consid. 3b/bb ). Concernant l'ordre de priorité et les efforts de recherche de l’employeur dans le cadre de l’art. 21 LEI, les directives du Secrétariat d’Etat aux migrations (SEM) dans le domaine des étrangers, dans leur version actualisée au 1 er avril 2025 (ci-après: directives LEI), prévoient ce qui suit (ch. 4.3.2.2 et 4.3.3): ‟ 4.3.2.2.2 Autres domaines professionnels Dans les domaines professionnels où il n’est pas possible d’apporter la preuve objective d’une forte pénurie de main-d’œuvre qualifiée, il y a lieu d’examiner au cas par cas si l’ordre de priorité a bien été respecté. Demeurent également réservées les conditions spécifiques applicables aux branches, aux professions et aux fonctions mentionnées au ch. 4.7. En vertu de la jurisprudence, l’employeur doit alors être en mesure de rendre crédible qu’il a effectué des recherches,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4.3.3 Obligation de communiquer les postes vacants (art. 21 a LEI)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De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(parmi d’autres arrêts, PE.2024.0125 du 29 novembre 2024 consid. 2b; PE.2021.0142 du 30 août 2022 consid. 2b et les arrêts cités).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ni, a fortiori , après la demande de permis (PE.2024.0125 du 29 novembre 2024 consid. 2b; PE.2015.0429 du 14 janvier 2016 consid. 3b et les réf. citées). c) Pour les travailleurs frontaliers qui ne sont pas ressortissants d’un pays de l’Union européenne, l’autorisation d’exercer une activité lucrative ne peut être délivrée qu’aux conditions fixées par le droit fédéral à l’art. 25 LEI. L’alinéa 1 de cette disposition prévoit qu’un étranger ne peut être admis en vue de l’exercice d’une activité lucrative en tant que frontalier que: s’il possède un droit de séjour durable dans un Etat voisin et réside depuis six mois au moins dans la zone frontalière voisine (let. a) et s’il exerce son activité dans la zone frontalière suisse (let. b). Suivant l’art. 25 al. 2 LEI, les art. 20 (mesures de limitations), 23 (qualifications personnelles) et 24 LEI (logement) ne sont pas applicables. A contrario , l’art. 21 LEI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 cf. PE.2024.0125 du 29 novembre 2024 consid. 2c; PE.2017.0463 du 24 juillet 2018 consid. 3a; PE.2015.0429 du 14 janvier 2016 consid. 3a et les réf. citées). Selon l’art. 22 LEI, qui s'applique également aux travailleurs frontaliers, un étranger ne peut être admis en vue de l’exercice d’une activité lucrative qu’aux conditions de rémunération et de travail usuelles du lieu, de la profession et de la branche. d) En l'occurrence, la recourante A.________ invoque avoir effectué des recherches approfondies sur le marché du travail "notamment via l'ORP, ainsi qu'une annonce publiée localement pendant six mois". Malgré cela, elle n'aurait trouvé aucun candidat "local" disposant des "compétences spécifiques requises" pour le poste de responsable de station-service. Or, il ressort du dossier de la cause que la recourante s'est contentée de publier une seule annonce sur la plateforme en ligne de l'ORP, diffusée entre le 27 novembre 2024 et, au plus tard, le 1 er avril 2025, soit pendant une période de quatre mois. Ses allégations, selon lesquelles elle aurait également publié une autre annonce "localement", ne sont démontrées par aucun élément au dossier; elles ne peuvent donc pas être retenues. La recourante ne produit par ailleurs aucun document attestant d'éventuelles autres démarches en ce sens, par exemple auprès d'agences de placement, au travers de quotidiens locaux, de la presse spécialisée, ou encore sur d'autres plateformes numériques. Pour le surplus, elle se contente d'indiquer n'avoir trouvé aucun profil correspondant aux qualifications requises, sans transmettre d'élément de preuve à cet égard, tel que les différents dossiers reçus; elle n'explique pas non plus en quoi les éventuelles autres candidatures ne correspondaient pas au profil recherché. L'autorité intimée pouvait ainsi considérer que les efforts déployés par la recourante en vue d'attribuer le poste de responsable de station-service à des candidats indigènes ou ressortissants de l'UE/AELE étaient manifestement insuffisants. La condition du respect de l’ordre de priorité figurant à l’art. 21 al. 1 LEI n’est en conséquence pas remplie. Pour ce motif déjà, l’autorité intimée était fondée à refuser la demande d’autorisation de travail qui lui était soumise, sans qu'il n'y ait lieu d'examiner si les autres conditions présidant à l'octroi de l'autorisation requise étaient réunies.</w:t>
      </w:r>
    </w:p>
    <w:p>
      <w:r>
        <w:rPr>
          <w:b/>
        </w:rPr>
        <w:t>E. 3</w:t>
      </w:r>
    </w:p>
    <w:p>
      <w:r>
        <w:t>Il résulte de ce qui précède que le recours doit être rejeté et la décision attaquée, confirmée. Succombant, les recourantes supportent solidairement les frais de justice (art. 49 al. 1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