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PE.2025.0094 vom 29. September 2025</w:t>
      </w:r>
    </w:p>
    <w:p>
      <w:r>
        <w:t>VD Tribunal cantonal, 2025-09-29, FR</w:t>
      </w:r>
    </w:p>
    <w:p>
      <w:r>
        <w:rPr>
          <w:b/>
        </w:rPr>
        <w:t xml:space="preserve">Quelle: </w:t>
      </w:r>
      <w:r>
        <w:t>https://mcp.opencaselaw.ch/entscheid/vd_omni_PE.2025.0094</w:t>
      </w:r>
    </w:p>
    <w:p>
      <w:r>
        <w:t>FR: VD_OMNI PE.2025.0094 du 29 septembre 2025</w:t>
      </w:r>
    </w:p>
    <w:p>
      <w:r>
        <w:t>IT: VD_OMNI PE.2025.0094 del 29 settembre 2025</w:t>
      </w:r>
    </w:p>
    <w:p>
      <w:pPr>
        <w:pStyle w:val="Heading2"/>
      </w:pPr>
      <w:r>
        <w:t>Regeste</w:t>
      </w:r>
    </w:p>
    <w:p>
      <w:r>
        <w:t>A.________/Service de la population (SPOP) | Confirmation du refus du SPOP d'octroyer au recourant, ressortissant indien arrivé en Suisse en 2010, une nouvelle autorisation de séjour pour études jusqu'au 30 septembre 2025, les cours de français qu'il suit ne constituant pas, comme cela a déjé été exposé dans un précédent arrêt de la CDAP (PE.2017.0516 du 30 mai 2018), un complément indispensable à sa formation de base pour pouvoir travailler dans son pays d'origine. Pas de violation du principe de la proportionnalité, ce d'autant plus que le SPOP a garanti au recourant la possibilité de rester en Suisse jusqu'au 30 septembre 2025 (consid. 2). Le recourant ne remplit manifestement pas les conditions pour obtenir une autorisation de séjour pour cas d'extrême gravité (consid.3).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refusant une autorisation de séjour au recourant. Cette décision n'est pas susceptible de recours auprès d'une autre autorité si bien que la voie du recours au Tribunal cantonal est ouverte (art. 92 de la loi du 28 octobre 2008 sur la procédure administrative [LPA-VD; BLV 173.36]). Déposé dans le délai légal, le recours satisfait pour le surplus aux exigences formelles prévues par la loi (art. 95, ainsi que 79 applicable par renvoi de l'art. 99 LPA-VD). En vertu de l'art. 75 let. a LPA-VD, la qualité pour recourir doit être reconnue au recourant qui est directement touché par la décision attaquée . Il y a donc lieu d'entrer en matière sur le recours.</w:t>
      </w:r>
    </w:p>
    <w:p>
      <w:r>
        <w:rPr>
          <w:b/>
        </w:rPr>
        <w:t>E. 2</w:t>
      </w:r>
    </w:p>
    <w:p>
      <w:r>
        <w:t>S'il est mineur, sa prise en charge doit être assurée.</w:t>
      </w:r>
    </w:p>
    <w:p>
      <w:r>
        <w:rPr>
          <w:b/>
        </w:rPr>
        <w:t>E. 3</w:t>
      </w:r>
    </w:p>
    <w:p>
      <w:r>
        <w:t>La poursuite du séjour en Suisse après l'achèvement ou l'interruption de la formation ou de la formation continue est régie par les conditions générales d'admission prévues par la présente loi. " L’art. 27 LEI est complété par les art. 23 ss de l'ordonnance du 24 octobre 2007 relative à l'admission, au séjour et à l'exercice d'une activité lucrative (OASA; RS 142.201). D'après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 A teneur de l’art. 23 al. 3 OASA, une formation ou une formation continue est en principe admise pour une durée maximale de huit ans. Des dérogations peuvent être accordées en vue d’une formation ou d’une formation continue visant un but précis. Les conditions posées à l'art. 27 LEI étant cumulatives, une autorisation de séjour pour l'accomplissement d'une formation ne peut être délivrée que si l' étudiant étranger satisfait à chacune d'elles. Même dans l'hypothèse où toutes ces conditions sont réunies, l’étranger n’a pas un droit à la délivrance d’une autorisation de séjour (l’art. 27 LEI étant rédigé en la forme potestative), à moins qu’il ne puisse se prévaloir d’une disposition particulière du droit fédéral ou d’un traité lui conférant un tel droit (ATF 147 I 89 consid. 1.1.2; arrêt TF 2D_8/2022 du</w:t>
      </w:r>
    </w:p>
    <w:p>
      <w:r>
        <w:rPr>
          <w:b/>
        </w:rPr>
        <w:t>E. 4</w:t>
      </w:r>
    </w:p>
    <w:p>
      <w:r>
        <w:t>Il résulte des considérants que le recours, entièrement mal fondé, doit être rejeté, ce qui entraîne la confirmation de la décision attaquée. Les frais de justice sont mis à la charge du recourant, qui succombe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