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PE.2025.0047 vom 8. April 2025</w:t>
      </w:r>
    </w:p>
    <w:p>
      <w:r>
        <w:t>VD Tribunal cantonal, 2025-04-08, FR</w:t>
      </w:r>
    </w:p>
    <w:p>
      <w:r>
        <w:rPr>
          <w:b/>
        </w:rPr>
        <w:t xml:space="preserve">Quelle: </w:t>
      </w:r>
      <w:r>
        <w:t>https://mcp.opencaselaw.ch/entscheid/vd_omni_PE.2025.0047</w:t>
      </w:r>
    </w:p>
    <w:p>
      <w:r>
        <w:t>FR: VD_OMNI PE.2025.0047 du 8 avril 2025</w:t>
      </w:r>
    </w:p>
    <w:p>
      <w:r>
        <w:t>IT: VD_OMNI PE.2025.0047 del 8 aprile 2025</w:t>
      </w:r>
    </w:p>
    <w:p>
      <w:pPr>
        <w:pStyle w:val="Heading2"/>
      </w:pPr>
      <w:r>
        <w:t>Regeste</w:t>
      </w:r>
    </w:p>
    <w:p>
      <w:r>
        <w:t>A._____/Service de la population (SPOP) | Rejet du recours déposé contre une décision d'assignation à résidence tous les jours entre 22h et 6h dans le foyer de l'EVAM dans lequel le recourant réside. Ce dernier fait l'objet d'une décision de renvoi entrée en force, n'a pas quitté le territoire suisse dans le délai imparti et a manifesté sa ferme intention de rester. Cette assignation n'empêche pas le recourant de recevoir les soins dont il a besoin et apparaît proportionnée.</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à un lieu de résidence (art. 13 al. 1 LVLEI) peut faire l'objet d'un recours au Tribunal cantonal, dans les dix jours dès notification de la décision attaquée; l'acte de recours est signé et sommairement motivé. Le Tribunal cantonal doit statuer à bref délai; dans ce domaine, il ne peut pas accorder l'effet suspensif au recours (art. 31 al. 4 LVLEI). En l'occurrence, le recours a été formé en temps utile et selon les formes prescrites. Il y a donc lieu d'entrer en matière sur le fond.</w:t>
      </w:r>
    </w:p>
    <w:p>
      <w:r>
        <w:rPr>
          <w:b/>
        </w:rPr>
        <w:t>E. 2</w:t>
      </w:r>
    </w:p>
    <w:p>
      <w:r>
        <w:t>La mesure attaquée prononce l’assignation à résidence du recourant. 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cf. ég. Chatton/Merz, in Nguyen/Amarelle [éd.], Code annoté de droit des migrations, vol. II: Loi sur les étrangers [LEtr], Berne 2017, n o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(cf. ATF 144 II 16 consid. 2.2; 142 II 1 consid. 2.3). b) En l’espèce, le recourant fait l’objet d’une décision de renvoi prononcée le 9 novembre 2023 par le SEM et désormais entrée en force, le recours interjeté contre cette décision devant le TAF ayant été rejeté par arrêt du 29 avril 2024. Le délai de départ initialement imparti n’ayant pas pu être respecté, le SEM a imparti au recourant un nouveau délai pour quitter la Suisse, au 17 mai 2024. Le SPOP a rappelé au recourant son obligation de quitter le territoire suisse, à défaut de quoi des mesures de contrainte pourraient être prononcées à son encontre, le 3 mai 2024. Par ailleurs, le SEM n’est pas entré en matière sur la demande de réexamen déposée par le recourant et a constaté que la décision du 9 novembre 2023 était entrée en force et exécutoire. Par arrêt du 17 décembre 2024, le TAF a déclaré le recours interjeté contre la décision du SEM irrecevable. Malgré l’avertissement de l’autorité intimée, le recourant n’a pas respecté le délai de départ fixé, ce qui est déjà suffisant pour justifier, sur le principe, la mesure d’assignation à résidence. De plus, le recourant a refusé d’accompagner un collaborateur du SPOP jusqu’à l’aéroport de Genève, où un vol à destination de Moscou lui était réservé, le 5 novembre 2024 et a également précisé par écrit, le lendemain, qu’il ne voulait pas partir, tant que ses soins médicaux n’étaient pas terminés. Dans ces circonstances, des éléments concrets attestent de la volonté du recourant de ne pas collaborer à l’exécution de son renvoi. Il s’ensuit que les conditions d’une mesure d’assignation à résidence selon l’art. 74 al. 1 let. b LEI sont remplies. c) Le recourant tient cependant la mesure pour disproportionnée eu égard à sa situation médicale. Amputé de la jambe, il a besoin d’un suivi médical régulier. Non seulement sa disparition ne serait pas à craindre, mais, de surcroît, il a besoin de se rendre régulièrement chez son médecin ainsi qu’au CHUV. En conclusion, des intérêts privés prépondérants conduiraient à renoncer à la mesure attaquée. L’assignation à résidence litigieuse n’est prévue que la nuit, de 22 heures à 7 heures du matin. Elle n’empêche pas le recourant de se rendre à ses rendez-vous médicaux. Sa liberté de mouvement en journée reste entière, l’assignation ne concernant que des horaires usuellement consacrés au repos. Le risque de disparition n'est pas une condition nécessaire pour l'application de l'art. 74 al. 1 let. b LEI. Enfin, la mesure litigieuse est limitée dans le temps, soit pendant quatre mois. Ceux-ci font suite à une première période de quatre mois, ce qui représente au total huit mois. Cette durée globale n’apparaît toutefois pas disproportionnée au vu des circonstances, le recourant étant simplement tenu de passer ses nuits dans un foyer (voir, pour un cas analogue, arrêt CDAP PE.2025.0038 du 8 mars 2025 consid. 2). d) En conclusion, l’autorité intimée n’a ni violé le droit ni abusé de son pouvoir d’appréciation en prononçant une mesure d’assignation à résidence à l’encontre du recourant.</w:t>
      </w:r>
    </w:p>
    <w:p>
      <w:r>
        <w:rPr>
          <w:b/>
        </w:rPr>
        <w:t>E. 3</w:t>
      </w:r>
    </w:p>
    <w:p>
      <w:r>
        <w:t>Les considérants qui précèdent conduisent au rejet du recours et à la confirmation de la décision attaquée. Compte tenu de la situation du recourant, il est renoncé à percevoir un émolument de justice (cf. art.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