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PE.2025.0031 vom 26. Juni 2025</w:t>
      </w:r>
    </w:p>
    <w:p>
      <w:r>
        <w:t>VD Tribunal cantonal, 2025-06-26, FR</w:t>
      </w:r>
    </w:p>
    <w:p>
      <w:r>
        <w:rPr>
          <w:b/>
        </w:rPr>
        <w:t xml:space="preserve">Quelle: </w:t>
      </w:r>
      <w:r>
        <w:t>https://mcp.opencaselaw.ch/entscheid/vd_omni_PE.2025.0031</w:t>
      </w:r>
    </w:p>
    <w:p>
      <w:r>
        <w:t>FR: VD_OMNI PE.2025.0031 du 26 juin 2025</w:t>
      </w:r>
    </w:p>
    <w:p>
      <w:r>
        <w:t>IT: VD_OMNI PE.2025.0031 del 26 giugno 2025</w:t>
      </w:r>
    </w:p>
    <w:p>
      <w:pPr>
        <w:pStyle w:val="Heading2"/>
      </w:pPr>
      <w:r>
        <w:t>Regeste</w:t>
      </w:r>
    </w:p>
    <w:p>
      <w:r>
        <w:t>A.________/Service de la population (SPOP) | En refusant de délivrer une autorisation de séjour à un ressortissant portugais, l'autorité intimée n'a pas abusé de son pouvoir d'appréciation. Le recourant a été condamné en Espagne à une peine privative de liberté de sept ans pour des activités en lien avec le commerce de produits stupéfiants. Au vu de la nature des infractions, le recourant constitue un danger pour la sécurité et l’ordre publics et son amendement est bien trop récent pour qu'il puisse tempérer les doutes sérieux que suscite sa venue en Suisse. Le recourant et sa compagne atendent certes un enfant, mais son intérêt privé et la protection de sa vie familiale doivent en pareil cas céder le pas devant l'intérêt public. Rejet du recours et confirmation de la décision attaquée.</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A titre de mesure d'instruction, le recourant requiert la tenue d'une audience, afin de pouvoir comparaître et s'expliquer oralement devant le Tribunal; il requiert en outre l'audition de sa compagne, afin que la déposition de cette dernière soit recueillie. a) Le recourant invoque à cet égard l' art.</w:t>
      </w:r>
    </w:p>
    <w:p>
      <w:r>
        <w:rPr>
          <w:b/>
        </w:rPr>
        <w:t>E. 6</w:t>
      </w:r>
    </w:p>
    <w:p>
      <w:r>
        <w:t>par. 1 CEDH , qui garantit le droit à un procès équitable pour la personne accusée d'une infraction (ATF 149 IV 97 consid. 2.4 p. 102). Cependant, il ne saurait déduire de cette disposition, qui n'est pas applicable s'agissant d'une procédure ayant trait à une autorisation de séjour (cf. ATF 150 I 174 consid. 4.3 pp. 181/182; 137 I 128 consid. 4.4.2 pp.133/134; arrêts TF 2C_337/2024 du 2 décembre 2024 consid. 3.1; 2C_458/2020 du 6 octobre 2020 consid. 3.1; 2C_20/2019 du 13 mai 2019 consid. 3.1; 2C_374/2018 du 15 août 2018 consid. 3.1), un droit à s'exprimer oralement dans le cadre d'une audience publique. b)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p. 222; 142 III 48 consid. 4.1.1 p. 52s.).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c) En l’occurrence, le litige porte sur la question de savoir si c'est à bon droit que l’autorité intimée a refusé de délivrer une autorisation de séjour au recourant et lui a enjoint de quitter la Suisse. Comme on le verra ci-dessous, l'autorité intimée oppose à la demande du recourant un refus justifié par des raisons d’ordre public, de sécurité publique et de santé publique. Le recourant critique le pronostic négatif ou défavorable de récidive retenu à son encontre; il offre de prouver l'absence de tout risque à cet égard. Or, le dossier de la cause est complet et le recourant a eu la possibilité de s’exprimer par écrit. Les questions à résoudre sont pour l’essentiel d’ordre juridique et le Tribunal les examine avec un plein pouvoir d’examen. Le Tribunal dispose également de tous les éléments lui permettant au surplus de contrôler la pesée des intérêts effectuée par l’autorité intimée et de s’assurer que cette dernière n’a pas abusé du pouvoir d’appréciation qui lui est reconnu en la présente matière ou d’accueillir, à l’inverse, le grief du recourant. Par conséquent, il n’y a pas lieu, par appréciation anticipée des preuves, de donner suite à la réquisition du recourant. 3. Le litige a exclusivement trait au refus de l'autorité intimée de délivrer une autorisation de séjour à un ressortissant de l'UE. a) L'ALCP a notamment pour objectif d'accorder en faveur des ressortissants des Etats membres un droit d'entrée, de séjour et d'accès à une activité économique salariée, sur le territoire des parties contractantes (art. 1er let. a ALCP). Le droit de séjour et d’accès à une activité économique est garanti, sous réserve des dispositions de l’art. 10 ALCP, conformément aux dispositions de l’annexe I (art. 4 ALCP). Selon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(par. 1). Par ailleurs, la loi fédérale du 16 décembre 2005 sur les étrangers et l’intégration (LEI; RS 142.20) est applicable aux ressortissants des Etats membres de l’Union européenne et aux membres de leur famille dans la mesure où l’ALCP n’en dispose pas autrement ou lorsqu’elle prévoit des dispositions plus favorables (art. 2 al. 2 LEI). Sous réserve du respect des exigences figurant à l'art. 5 annexe I ALCP, cet accord ne réglemente pas en tant que tel le retrait, respectivement le refus d'octroi d'une autorisation de séjour UE/AELE, de sorte que l' art. 62 LEI est applicable (arrêts TF 2C_362/2019 du 10 janvier 2020 consid. 5.1; 2C_44/2017 du 28 juillet 2017 consid. 4; 2C_317/2016 du 14 septembre 2016 consid. 4.1). Pour les ressortissants communautaires, la révocation d'un titre de présence en Suisse est toutefois soumise non seulement à un motif de révocation prévu par le droit interne, mais aussi à un motif d'ordre public au sens de l'art. 5 annexe I ALCP (v. arrêt TF 2C_789/2018 du 30 janvier 2019 consid. 2.3). b) L'art. 5 annexe I ALCP dispose que les droits octroyés par les dispositions du présent accord ne peuvent être limités que par des mesures justifiées par des raisons d’ordre public, de sécurité publique et de santé publique .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126; 136 II 5 consid. 4.2 p. 20; arrêt TF 2C_238/2012 du 30 juillet 2012 consid. 2.3). L'évaluation de cette menace doit se fonder exclusivement sur le comportement personnel de celui qui fait l'objet de la mesure, et non sur des motifs de prévention générale détachés du cas individuel (arrêt TF 2C_1049/2021 du 18 mars 2022 consid. 4.4).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A cet égard, le Tribunal fédéral se montre particulièrement rigoureux en présence d'infractions à la législation fédérale sur les stupéfiants (cf. arrêts TF 2C_146/2020 du 24 avril 2020 consid. 10.2; 2C_401/2012 du 18 septembre 2012 consid. 3.3; 2C_492/2011 du 6 décembre 2011 consid. 4.1; 2C_473/2011 du 17 octobre 2011 consid. 2.2; 2A.308/2004 du 4 octobre 2004 consid. 3.3). Le trafic de stupéfiants constitue une menace grave à l'ordre public au sens de l'art. 5 annexe I ALCP (cf. ATF 145 IV 364 consid. 3.5.2 et les références), étant précisé que la commission d'infractions qui sont en étroite relation avec la toxicomanie du délinquant peuvent, selon les circonstances, atténuer cette position de principe (cf. arrêt TF 2C_625/2007 du 2 avril 2008 consid. 8.2; voir aussi arrêt TF 2C_547/2010 du 10 décembre 2010 consid. 4). c) aa) Selon l’art. 62 al. 1 let. b LEI, l’autorité compétente peut révoquer une autorisation, à l’exception de l’autorisation d’établissement, lorsque l’étranger a été condamné à une peine privative de liberté de longue durée ou a fait l’objet d’une mesure pénale prévue aux art. 59 à 61 ou 64 CP. Selon la jurisprudence, constitue une peine privative de longue durée au sens de l'art. 62 al. 1 let. b LEI toute peine dépassant un an d'emprisonnement, indépendamment du fait qu'elle soit ou non assortie (en tout ou partie) du sursis ( ATF 146 II 321 consid. 3.1 p. 325; 139 I 145 consid. 2.1 p. 147; 139 II 65 consid. 5.1 p. 72; arrêts TF 2C_277/2023 du 1 er mars 2024 consid. 3.1; 2D_33/2022 du 22 février 2023 consid. 2.3). En principe, les condamnations prononcées par un tribunal étranger peuvent également être prises en compte. Ceci en tout cas lorsque les infractions en question sont des crimes ou des délits selon l'ordre juridique suisse, que la condamnation a été prononcée dans un Etat dans lequel le respect des principes procéduraux de l'Etat de droit et des droits de la défense peut être considéré comme assuré et que le jugement pénal étranger ne viole pas l'"ordre public" suisse (arrêts TF 2C_269/2024 du 14 novembre 2024 consid. 6.2.1; 2C_613/2023 du 16 novembre 2023 consid. 5.2; 2C_122/2017 du 20 juin 2017 consid. 3.2 avec renvois; cf. également arrêt TF 2C_360/2020 du 26 août 2020 consid. 4.3.2). bb) Selon l’art. 62 al. 1 let. c LEI, l’autorité compétente peut révoquer une autorisation, à l’exception de l’autorisation d’établissement, lorsque l’étranger attente de manière grave ou répétée à la sécurité et l’ordre publics en Suisse ou à l’étranger, les met en danger ou représente une menace pour la sécurité intérieure ou extérieure de la Suisse. Cette disposition est complétée par l'art. 77a al. 1 OASA, aux termes duquel il y a notamment non-respect de la sécurité et de l’ordre publics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L'al. 2 ajoute que la sécurité et l’ordre publics sont mis en danger lorsque des éléments concrets indiquent que le séjour de la personne concernée en Suisse conduira selon toute vraisemblance au non-respect de la sécurité et de l’ordre publics. En règle générale, une personne attente de manière "grave" à l'ordre public au sens de l'art. 62 al. 1 let. c LEI, lorsque ses actes lèsent ou compromettent des biens juridiques particulièrement importants comme l'intégrité corporelle, physique ou sexuelle (cf. arrêt TF 2C_377/2022 du 28 août 2023 consid. 3.3; 2C_107/2021 du 1 er juin 2021 consid. 4 et la référence). Des condamnations pénales mineures n'excluent pas forcément d'emblée la réalisation de l'intégration (arrêts TF 2C_797/2022 du 22 mars 2023 consid. 3.3.2; 2C_145/2022 du 6 avril 2022 consid. 6.3; 2C_935/2021 du 28 février 2022 consid. 5.1.2; 2C_342/2021 du 20 septembre 2021 consid. 6.2; 2C_541/2019 du 22 janvier 2020 consid. 3.4.1 et les arrêts cités). Cependant, la répétition d'infractions et de condamnations démontre que l'étranger ne se laisse pas impressionner par les mesures de droit pénal et qu'il ne possède ni la volonté ni la capacité de respecter à l'avenir l'ordre juridique (cf. ATF 139 I 16 consid. 2.1; arrêt TF 2C_614/2021 du 18 mars 2022 consid. 3.2 et les références). 4. En la présente espèce, l'autorité intimée a opposé les deux motifs cités au considérant 3c supra à la demande d'autorisation de séjour présentée par le recourant. Ce dernier fait valoir, pour sa part, que la décision attaquée violerait tant l'art. 5 Annexe I ALCP que le principe de proportionnalité. a) Le recourant a été condamné en Espagne en 2017 à une peine privative de liberté de sept ans pour trafic de stupéfiants. Il lui a été reproché d'avoir transporté de Colombie en Espagne une quantité de 2'475,06 grammes de cocaïne pure, dont la vente aurait pu générer un bénéfice de 362'906 euros. La jurisprudence du Tribunal fédéral a fixé le seuil du cas grave au sens de l’article 19 al. 2 let. a de la loi fédérale du 3 octobre 1951 sur les stupéfiants et les substances psychotropes (LStup; RS 812.121) à 18 grammes de cocaïne pure (cf. ATF 145 IV 312, cons. 2.1.1; 109 IV 143, cons. 3b), seuil très largement dépassé en l'occurrence. Cette peine sanctionne donc un crime au sens du droit pénal suisse (cf. art. 10 al. 2 CP); elle est supérieure à un an et revêt dès lors une durée suffisante pour être considérée comme une peine privative de longue durée au sens de l' art. 62 al. 1 let. b LEI et de la jurisprudence y relative. Les explications du recourant n'y changent rien. Ce jugement apparaît comme étant conforme aux principes procéduraux d'un Etat de droit; il ne porte certainement pas atteinte à l'ordre public suisse. Dès lors, force est de constater que le recourant réalise le motif de révocation, prévu à l'art. 62 al. 1 let. b LEI; ce motif peut être invoqué pour justifier le refus de lui octroyer une autorisation de séjour. b) La décision attaquée retient en outre qu'au vu de la peine infligée et l'infraction commise, le recourant avait gravement attenté à l'ordre public, mettant ainsi sérieusement en danger la santé publique, au sens de l'art. 62 al. 1 let. c LEI. On doit en effet admettre, compte tenu de la quantité de cocaïne pure importée en Espagne, que son comportement a eu pour effet de léser ou de compromettre l'intégrité corporelle et physique des consommateurs de cette substance, soit des biens juridiques particulièrement importants. Quoi qu'il en soit, dès l'instant où le recourant remplit déjà la condition de la lettre b de l'art. 62 al. 1 LEI, on peut se dispenser d'examiner ce second motif de révocation. c) Sans doute, le recourant est ressortissant communautaire; cependant, des mesures d'ordre public peuvent lui être opposées. Dans ce cadre, l'inscription à son casier judiciaire d'une condamnation pénale à une peine privative de liberté de longue durée, qui atteste de la lourde culpabilité du recourant, était de nature à conduire l'autorité intimée à estimer qu'il ne remplissait pas les conditions lui permettant de séjourner au titre de la libre circulation. Une condamnation à sept ans de peine privative de liberté ne sanctionne assurément pas un trafic de stupéfiants de petite ampleur et il importe de faire preuve d'une certaine rigueur à cet égard; ceci d'autant plus qu'aucun élément ne montre que ce trafic était en corrélation avec la propre consommation de stupéfiants du recourant, ce qui n'est du reste pas allégué. Cette peine, qui est liée à un trafic de stupéfiants, permet de constater que le recourant représente une menace grave pour la sécurité et l'ordre publics. Le recourant s'en prend toutefois à la décision attaquée en ce qu'elle pose un pronostic défavorable, estimant qu'il présente un risque de récidive. Le recourant indique sur ce point qu'il a quitté l'environnement criminogène dans lequel il évoluait en Espagne et a coupé tout lien avec ses anciennes fréquentations pour se réinsérer dans une vie stable et conforme à l'ordre juridique. Il s'est déclaré prêt à se soumettre à une expertise de dangerosité ou à un suivi psychologique. Le recourant perd de vue que durant l'exécution de sa peine, il est de toute façon attendu d'un délinquant qu'il se comporte de manière adéquate (sur ce point, v. ATF 139 II 121 consid. 5.5.2 p. 128). Toujours selon ses explications, le recourant entretient, depuis sa libération, une relation amoureuse sérieuse avec sa compagne, dont il attend un enfant, et exerce une activité professionnelle régulière. Selon lui, il y aurait lieu d'émettre un pronostic favorable sur son comportement futur. Force est toutefois de constater que l'amendement de l'intéressé est trop récent, puisqu'il remonte au 28 octobre 2021, pour qu'il puisse venir tempérer les doutes sérieux que suscite sa venue en Suisse. En outre, on rappelle que la jurisprudence se montre rigoureuse à l'égard des participants à un trafic de stupéfiants qui, à l'image du recourant, ne sont pas eux-mêmes des consommateurs. Contrairement à ce que soutient le recourant, l'autorité intimée ne s'est pas livrée à une appréciation erronée de son risque de récidive et partant, de la menace réelle et actuelle d'une certaine gravité pour l'ordre et la sécurité publics, au sens où l’entend l' art. 5 par. 1 annexe I ALCP, qu'il représente pour la société suisse . Il était donc justifié pour l'autorité intimée de refuser d'accéder à sa demande. 5. Il reste à vérifier si la décision attaquée résiste à la critique du recourant, pour qui le principe de proportionnalité a été en l'espèce violé. Le recourant fait pour l'essentiel valoir la protection de sa vie familiale au sens où l'entend l'art. 8 CEDH. Selon ses explications, il entretiendrait une relation stable avec sa compagne actuelle, de nationalité suisse, enceinte de ses œuvres par surcroît. Pour l'autorité intimée cependant, l'intérêt public à l'éloignement de l'intéressé l'emporterait sur son intérêt privé à séjourner en Suisse. a) Le refus ou la révocation de l’autorisation de séjour doit être conforme au principe de proportionnalité, en vertu de l’art. 96 LEI, applicable au domaine régi par l’ALCP selon l’art. 2 al. 2 LEI. D'après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fait de refuser un droit de séjour à un étranger dont la famille se trouve en Suisse peut toutefois entraver sa vie familiale et porter ainsi atteinte au droit au respect de la vie privée et familiale garanti par cette disposition (ATF 140 I 145 consid. 3.1 p. 146 s.; 135 I 143 consid. 1.3.1 p. 145).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ou s'il existe des indices concrets d'un mariage sérieusement voulu et imminent (cf. ATF 144 I 266 consid. 2.5 p. 270; cf. en outre, arrêts TF 2C_951/2020 du 1 er décembre 2020 consid. 5.1; 2C_976/2019 du 24 février 2020 consid. 4.1; 2C_401/2018 du 17 septembre 2018 consid. 6 et les références citées). Ainsi, la durée de la vie commune constitue une donnée objective qui permet d'attester que la relation jouit d'une intensité et d'une stabilité suffisantes pour pouvoir être assimilée à une vie conjugale (TF 2C_1035/2012 du 21 décembre 2012 consid. 5.1). Une vie commune depuis quatre ans avec un projet concret de mariage tend à démontrer la volonté des concubins de former une véritable communauté conjugale (arrêt TF 2C_1019/2022 du 7 juin 2023 consid. 5.1). Le Tribunal fédéral a même retenu, s'agissant d'une relation ayant duré plus de deux ans, en présence d'un enfant commun et d'un projet de mariage concrétisé, l'existence d'une famille " naturelle " bénéficiant de la protection de l'art. 8 CEDH (TF 2C_661/2010 du 31 janvier 2011 consid. 3). Selon la jurisprudence, une ingérence dans l'exercice du droit au respect de la vie privée et familiale garanti par l'art.</w:t>
      </w:r>
    </w:p>
    <w:p>
      <w:r>
        <w:rPr>
          <w:b/>
        </w:rPr>
        <w:t>E. 8</w:t>
      </w:r>
    </w:p>
    <w:p>
      <w:r>
        <w:t>par. 2 CEDH. Dès lors, on ne voit pas en quoi la décision attaquée serait contraire au principe de proportionnalité. c) Pour le surplus, le recourant est jeune et en bonne santé; à tout le moins, le contraire n’est pas allégué. Il a vécu au Portugal, pays dont il a la nationalité, où vivent également ses parents. Il en connaît la langue et son intégration y sera d’autant plus facilitée qu’il pourra mettre à profit l’ensemble des acquis de son activité professionnelle en Suisse. 6. Les considérants qui précèdent conduisent le Tribunal à rejeter le recours et à confirmer la décision attaquée, ce qui prive de leur objet les mesures provisionnelles requises par le recourant. Le sort du recours commande que le recourant en supportent les frais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