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PE.2024.0192 vom 20. Mai 2025</w:t>
      </w:r>
    </w:p>
    <w:p>
      <w:r>
        <w:t>VD Tribunal cantonal, 2025-05-20, FR</w:t>
      </w:r>
    </w:p>
    <w:p>
      <w:r>
        <w:rPr>
          <w:b/>
        </w:rPr>
        <w:t xml:space="preserve">Quelle: </w:t>
      </w:r>
      <w:r>
        <w:t>https://mcp.opencaselaw.ch/entscheid/vd_omni_PE.2024.0192</w:t>
      </w:r>
    </w:p>
    <w:p>
      <w:r>
        <w:t>FR: VD_OMNI PE.2024.0192 du 20 mai 2025</w:t>
      </w:r>
    </w:p>
    <w:p>
      <w:r>
        <w:t>IT: VD_OMNI PE.2024.0192 del 20 maggio 2025</w:t>
      </w:r>
    </w:p>
    <w:p>
      <w:pPr>
        <w:pStyle w:val="Heading2"/>
      </w:pPr>
      <w:r>
        <w:t>Regeste</w:t>
      </w:r>
    </w:p>
    <w:p>
      <w:r>
        <w:t>A.________/Direction générale de l'emploi et du marché du travail - DGEM, Service de la population (SPOP) | Confirmation du refus de délivrer une autorisation de travail en faveur d'une ressortissante philippine, engagée comme aide à domicile. Le recourant, atteint dans sa santé, a initialement requis l'octroi d'un permis de travail pour une aide soignante; or, la candidate ne peut se prévaloir d'aucune autorisation de pratiquer délivrée à cet égard par l'autorité compétente. Si l'on retient que la demande a uniquement trait à l'engagement d'une employée de maison, il n’est ni prouvé, ni même allégué que l'intéressée bénéficie d'une expérience spécifique de cinq ans au moins et ait résidé depuis cinq ans au moins de manière régulière dans l’un des pays membres de l’UE/AELE avant d’entrer en Suisse (comme l'exigent les Directives LEI) et il n'est pas établi que le recourant a entrepris des démarches en vue de recruter un ou une candidate sur le marché du travail local.</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de la loi fédérale du 16 décembre 2005 sur les étrangers et l’intégration (LEI ;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titre de mesure d'instruction, le recourant requiert la tenue d'une audience, afin de pouvoir être entendu, "dans la mesure où la Cour de céans le jugerait utile" ; compte tenu de ses problèmes de motricité, il estime plus raisonnable que le Tribunal se déplace à son domicile pour recueillir ses explications.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notamment à l'autorité la faculté de recourir, comme moyen de preuve, à l'audition des parties (let. a).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Il est par ailleurs rappelé que le droit à une audience publique garanti par l'art. 6 par. 1 CEDH ne s'applique pas aux procédures en matière de droit des étrangers (ATF 137 I 128 consid. 4.4.2 pp. 133/134; TF  2C_458/2020 du 6 octobre 2020 consid. 3.1; 2C_20/2019 du 13 mai 2019 consid. 3.1; 2C_374/2018 du 15 août 2018 consid. 3.1). b) En l’occurrence, le litige porte sur la question de savoir si c'est à bon droit que l’autorité intimée a refusé d'accorder une autorisation préalable de travail en faveur de B.________. Le recourant n'indique pas sur quels points particuliers il y aurait lieu de recueillir sa déclaration. Quoi qu'il en soit, le dossier de la cause est complet et le recourant a eu la possibilité de s’exprimer par écrit. Les questions à résoudre sont pour l’essentiel d’ordre juridique et le Tribunal les examine avec un plein pouvoir d’examen. Le Tribunal dispose de tous les éléments lui permettant au surplus de contrôler la pesée des intérêts en présence effectuée par l’autorité intimée et de s’assurer que cette dernière n’a pas abusé du pouvoir d’appréciation qui lui est reconnu en la présente matière ou d’accueillir, à l’inverse, le grief du recourant. Par conséquent, il n’y a pas lieu, par appréciation anticipée des preuves, de donner suite à la réquisition du recourant.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B.________, à qui une autorisation de séjour et de travail a été refusée, est ressortissante d’un Etat avec lequel la Suisse n’est liée par aucune convention, de sorte que cette question doit être résolue au regard du droit interne exclusivement, soit la LEI et ses ordonnances d’application.</w:t>
      </w:r>
    </w:p>
    <w:p>
      <w:r>
        <w:rPr>
          <w:b/>
        </w:rPr>
        <w:t>E. 4</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Le Secrétariat d’Etat aux migrations [SEM] a édicté des Directives et commentaires (I. Domaine des étrangers [Directives LEI]), dont le chapitre 4 a trait au séjour avec activité lucrative. Dans leur état au 1 er avril 2025, ces directives prévoient que les autorités du marché du travail prennent une décision préalable pour toute demande concernant les autorisations de séjour initiales en vue de l'exercice d'une activité lucrative, ainsi que pour toutes les autorisations de courte durée (cf.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On peut supposer que le potentiel offert par la main-d’œuvre présente en Suisse a été épuisé dans les genres de professions touchés par une forte pénurie structurelle de main-d’œuvre qualifiée (Directives LEI, ch. 4.3.2.2.1). Le principe de la priorité des travailleurs résidents doit être appliqué à tous les cas, quelle que soit la situation de l'économie et du marché du travail (arrêts du Tribunal administratif fédéral C-5912/2011 du 25 août 2015 consid. 8.3; C-4989/2011 du 23 janvier 2013 consid. 4.3.1; C-8717/2010 du 8 juillet 2011 consid. 6.3). L’employeur doit alors être en mesure de rendre crédible qu’il a effectué des recherches,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(Directives LEI, ch. 4.3.2.2.2).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(arrêt 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 c) Pour ce qui a par ailleurs trait aux qualifications personnelles, les directives LEI stipulent que des exceptions au sens de l'art. 23 al. 3 LEI peuvent être admises dans certains cas en faveur du personnel de maison. Le personnel de maison qui effectue les tâches domestiques et/ou qui a la garde des enfants sera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La famille requérante doit en outre prouver qu’elle a déployé les efforts de recrutement requis en Suisse et dans les pays membres de l’UE/AELE (Directive SEM précitée, ch. 4.7.15.2). S’agissant plus particulièrement du personnel de maison, il a notamment été jugé que pour un cadre brésilien appelé à venir en Suisse, avec son épouse et leurs deux petits-enfants, pour y prendre des fonctions dirigeantes, l’engagement de la gouvernante brésilienne de ceux-ci répondait à un pur motif de convenance personnelle, dans la mesure où il est possible de trouver sur le marché indigène du travail des personnes lusophones (cf. arrêt CDAP PE.2010.0389 du 29 novembre 2010; dans le même sens, arrêt CDAP PE.2008.0024 du 23 avril 2008). A été également confirmé le refus de l’autorité cantonale de délivrer une autorisation de courte durée avec activité lucrative en faveur d'une employée de maison philippine, engagée au service d'une famille suisse comme employée de maison pour effectuer les tâches domestiques et garder les enfants et qui accompagnait ses employeurs des Emirats arabes unis en Suisse; il a été considéré que les circonstances invoquées constituaient des motifs de convenance personnelle, la seule offre d'emploi publiée sur Internet correspondant en tous points au profil de l'employée. En outre et surtout, la demande se heurtait au principe de priorité des travailleurs indigènes, l'employeur n'ayant pas effectué les démarches requises à cet égard. Le tribunal a précisé à cette occasion que le principe de priorité s’appliquait aussi à une famille qui souhaiterait engager une personne ayant déjà été à son service, pendant deux ans, pour des tâches domestiques et/ou la garde des enfants  (arrêt CDAP PE.2016.0291 du 18 octobre 2016 consid. 4 ; v. dans le même sens PE.2022.0070 du 14 décembre 2022 consid. 4e). La demande de permis de travail a en revanche été acceptée, sous l'empire de l'ancienne loi fédérale sur le séjour et l’établissement des étrangers (LSEE), dans la situation familiale particulière où l’un des quatre enfants était gravement handicapé et ne pouvait se faire comprendre facilement que par une gouvernante du même pays d’origine (cf. arrêt CDAP PE.2005.0656 du 20 juin 2006 ). Il est à relever que les décisions préalables cantonales d’admission de personnel de maison sont soumises à approbation, car ces personnes possèdent des connaissances ou des capacités professionnelles particulières (art. 23 al. 3 let. c LEI et art. 1 let. a ch. 4 de l’ordonnance du DFJP relative aux autorisations soumises à la procédure d’approbation et aux décisions préalables dans le domaine du droit des étrangers du 13 août 2015 [ RS 142.201.1; OA-DFJP]). d) S’agissant plus particulièrement du personnel de maison pour les personnes ayant besoin de soins et impliquant la prise en charge, à leur domicile, de personnes gravement malades ou handicapées, il est possible d’engager à titre exceptionnel du personnel soignant ressortissant de pays non-membres de l’UE/AELE, à condition qu’il satisfasse aux critères cumulatifs suivants (Directives LEI, ch. 4.7.15.5): «(…) - certificat médical (p. ex. une attestation de Pro Infirmis ou de l’autorité cantonale de santé publique), attestant que la personne handicapée est tributaire d’une prise en charge et de soins permanents et qu’aucune autre solution (ponctuelle), telle que des soins à domicile (SPITEX), n’est envisageable; - prise en compte des dispositions contractuelles visées au ch. 4.7.15.3. Les dispositions relatives à l’hébergement doivent tout particulièrement être observées (cf. ch. 4.7.15.3); - preuve que les efforts de recrutement requis ont été déployés sans succès en Suisse et dans les Etats membres de l’UE/AELE; - formation de deux ans au moins dans le domaine des soins; - attestation d’une expérience professionnelle de deux ans au moins (prise en charge et soins auprès de personnes handicapées, ou ayant besoin de soins et gravement malades); - preuve que le soignant réside depuis deux ans au moins de manière régulière dans l’un des pays membres de l’UE/AELE. La fourniture de prestations de soins est soumise à autorisation Toute personne qui fournit également, outre ses activités dans le domaine de l’économie domestique, des prestations de soins à des personnes âgées ou à des malades au domicile de ces personnes doit être au bénéfice d’une formation professionnelle adéquate et posséder une autorisation de pratiquer, conformément aux différentes lois cantonales sur la santé. En règle générale, une autorisation des autorités sanitaires cantonales est nécessaire lorsqu’une personne fournit des soins sous sa propre responsabilité, à titre professionnel ou de manière ponctuelle, contre rémunération. Les prestations de soins recouvrent en général les activités visées par l’ordonnance sur les prestations de l’assurance de soins (OPAS). Les soins englobent également les soins de base, c’est-à-dire l’aide et l’accompagnement pour les soins corporels et buccaux, pour se lever et aller au lit (déplacements), s’habiller et se déshabiller, ainsi que pour manger et boire. L’apport de soins est soumis à autorisation même lorsqu’il n’est pas prescrit par un médecin. L’octroi d’une autorisation requiert en général un diplôme reconnu dans le domaine des soins et une expérience pratique de deux ans sous surveillance professionnelle. L’octroi d’une autorisation de pratiquer relève des autorités sanitaires cantonales. (...)» Selon la pratique du SEM, dans l'hypothèse où toutes les conditions cumulatives énumérées ci-dessus sont remplies, une autorisation préalable de travail pourrait être délivrée (v. sur ce point arrêt TAF C-1223/2006 du 26 novembre 2007 consid. 8.2.1 à propos de l’art. 8 al. 3 OLE). Ainsi, a été confirmé le refus de préaviser favorablement la délivrance d’une autorisation de séjour et de travail en faveur d’une ressortissante irakienne, engagée comme employée de maison pour s’occuper de l’épouse, elle-même suissesse d’origine irakienne, atteinte dans sa santé; il n'a pas été démontré que la candidate à l’engagement avait suivi une formation de deux ans au moins dans le domaine des soins, d’une part, et qu’elle pouvait se prévaloir d’une expérience professionnelle attestée de deux ans au moins dans la prise en charge et soins auprès de personnes handicapées, ou ayant besoin de soins, d’autre part. En outre, il est apparu que les employeurs avaient pris la décision d'engager la requérante avant même la publication des annonces qu'ils avaient fait paraître, lesquelles étaient au surplus adaptées au profil de ce dernier (cf. arrêt PE.2018.0151 du 23 juillet 2018, déjà cité; dans le même sens, arrêts PE.2018.0391 du 30 novembre 2018, s’agissant d’un "proche aidant").</w:t>
      </w:r>
    </w:p>
    <w:p>
      <w:r>
        <w:rPr>
          <w:b/>
        </w:rPr>
        <w:t>E. 5</w:t>
      </w:r>
    </w:p>
    <w:p>
      <w:r>
        <w:t>a) En la présente espèce, le recourant expose à titre préliminaire que sa situation personnelle particulière commanderait que l'on s'écarte des directives précitées du SEM, à tout le moins que celles-ci soient appliquées avec prudence. Afin d'assurer l'application uniforme de certaines dispositions légales, l'administration peut expliciter l'interprétation qu'elle leur donne dans des directives (cf. art. 89 OASA, aux termes duquel ces directives sont édictées par le SEM).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143 II 443 consid. 4.5.2 p. 450; 141 II 338 consid. 6.1 p. 346; 133 II 305 consid. 8.1). Le juge peut ainsi s'écarter des directives s'il les estime contraires à la loi ou à l'ordonnance; en revanche, du moment qu'elles tendent à une application uniforme et égale du droit, l'administration et les tribunaux ne s'en écartent que dans la mesure où elles ne restitueraient pas le sens exact de la loi (cf. ATF 146 II 321 consid. 4.3 p. 328; 142 II 182 consid. 2.3.2 p. 190s.; 138 V 50 consid. 4.1 et les références citées). Or, aucune raison ne commanderait in casu de s'écarter des Directives LEI, ceci d'autant moins qu'en la présente matière, celles-ci tendent à l'application uniforme des articles 21 à 23 LEI. b) Le recourant reproche tout d'abord à l'autorité intimée d'avoir abusé de son pouvoir d'appréciation en refusant de délivrer une autorisation de séjour en faveur de B.________, afin que cette dernière puisse travailler à son service comme employée de maison. Selon ses explications, cette dernière n'aurait pas été engagée comme personnel soignant, contrairement à ce que retient la décision attaquée, mais uniquement pour fournir des prestations d'aide au recourant. aa) On relève tout d'abord que, dans la lettre accompagnant sa demande du 17 avril 2024, le recourant a expressément annoncé que B.________ était engagée en qualité d'aide-soignante et d'aide à domicile. Du reste, le contrat du 5 septembre 2023 mentionne "(...) effectuer des travaux de tâches ménagères et du quotidien (au) domicile y.c. accompagnement dû à la maladie" . En admettant dès lors que, sur la foi des premières explications du recourant, l’intéressée soit engagée non seulement comme employée de maison, mais en qualité de personnel soignant à son service, il ne ressort pas des pièces produites, ni de son curriculum vitae, que celle-ci ait suivi une formation de deux ans au moins dans le domaine des soins, d’une part, et qu’elle puisse se prévaloir d’une expérience professionnelle attestée de deux ans au moins dans la prise en charge et soins auprès de personnes ayant besoin de soins, d’autre part. Enfin, l'intéressée ne peut se prévaloir d'aucune autorisation de pratiquer que l'autorité cantonale compétente lui aurait délivrée. Du reste, l’octroi d’une autorisation requiert en général un diplôme reconnu dans le domaine des soins et une expérience pratique de deux ans sous surveillance professionnelle (cf. Directives LEI, ch. 4.7.15.5). Quoi qu'il en soit, au vu des dernières explications du recourant, on peut laisser indécise la question de savoir si l'autorité intimée a abusé de son pouvoir d'appréciation en refusant à B.________ une autorisation de séjour, afin qu'elle puisse travailler comme employée de maison au service d'une personne ayant besoin de soins. bb) Si l'on retient en effet, au vu notamment du cahier des charges figurant dans le contrat du 5 septembre 2023, que la demande a uniquement trait à l'autorisation d'engager une employée de maison, comme le recourant le soutient, on relève qu'il s'agit d'un nouvel engagement. Or, il n’est ni prouvé, ni même allégué que l'intéressée bénéficie d'une expérience spécifique de cinq ans au moins et ait résidé depuis cinq ans au moins de manière régulière dans l’un des pays membres de l’UE/AELE avant d’entrer en Suisse. A cela s’ajoute que l'on ignore si, en dépit de ses explications, le recourant a entrepris des démarches en vue de recruter un ou une candidate sur le marché du travail local. Il allègue sans doute avoir effectué des dizaines de candidatures et avoir reçu de nombreux candidats; or, rien ne figure au dossier sur ce point. Certes, le recourant a produit l'attestation écrite de D.________ qui fait état de "recherches infructueuses" de sa part, sans autre précision toutefois. A supposer du reste que ces recherches aient échoué, l'art. 21 LEI implique que les recherches d'un candidat soient, en cas d'insuccès sur le marché indigène, étendues aux pays traditionnels de recrutement, soit les Etats de l'UE ou de l'AELE. Du reste, il convient d'observer sur ce point que le fait qu'un employeur souhaite engager en priorité un travailleur qu'il connaît et en qui il a pleine confiance relève en règle générale de la pure convenance personnelle et n'est pas déterminant. Il n'est pas exclu également, sans perdre de vue les besoins que requiert l'état de santé du recourant, que le poste ait été taillé sur mesure pour l'intéressée, ce qui pourrait être de nature à décourager d'éventuels candidats provenant du marché local du travail. c) Force est par conséquent d'admettre que les conditions permettant au recourant d’engager B.________ à son service ne sont pas remplies. Il en résulte que la décision attaquée ne relève pas d’un abus de la part de l’autorité intimée dans l’exercice de son pouvoir d’appréciation.</w:t>
      </w:r>
    </w:p>
    <w:p>
      <w:r>
        <w:rPr>
          <w:b/>
        </w:rPr>
        <w:t>E. 6</w:t>
      </w:r>
    </w:p>
    <w:p>
      <w:r>
        <w:t>Les considérants qui précèdent conduisent par conséquent au rejet du recours et à la confirmation de la décision attaquée. Le sort du recours commande que le recourant en supporte les frais (cf. art. 49 al. 1, 91 et 99 LPA-VD). Pour le même motif,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