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PE.2024.0155 vom 13. Februar 2025</w:t>
      </w:r>
    </w:p>
    <w:p>
      <w:r>
        <w:t>VD Tribunal cantonal, 2025-02-13, FR</w:t>
      </w:r>
    </w:p>
    <w:p>
      <w:r>
        <w:rPr>
          <w:b/>
        </w:rPr>
        <w:t xml:space="preserve">Quelle: </w:t>
      </w:r>
      <w:r>
        <w:t>https://mcp.opencaselaw.ch/entscheid/vd_omni_PE.2024.0155</w:t>
      </w:r>
    </w:p>
    <w:p>
      <w:r>
        <w:t>FR: VD_OMNI PE.2024.0155 du 13 février 2025</w:t>
      </w:r>
    </w:p>
    <w:p>
      <w:r>
        <w:t>IT: VD_OMNI PE.2024.0155 del 13 febbraio 2025</w:t>
      </w:r>
    </w:p>
    <w:p>
      <w:pPr>
        <w:pStyle w:val="Heading2"/>
      </w:pPr>
      <w:r>
        <w:t>Regeste</w:t>
      </w:r>
    </w:p>
    <w:p>
      <w:r>
        <w:t>A.________/Service de la population (SPOP) | Recours contre le refus d'octroi anticipé d'une autorisation d'établissement. Rappel de la liberté d’appréciation de l'autorité. L'autorité intimée a tenu compte des efforts et de l'intégration professionnelle de la recourante (victime de violence domestique) en renouvelant son autorisation de séjour et celles de ses enfants, malgré leur dépendance de l'aide sociale. Ces éléments ne justifient cependant pas encore la délivrance anticipée d'une autorisation d'établissement, au vu du montant d'aide sociale perçu (205'526 fr.) et au vu du caractère très récent de l'indépendance financière. De plus, il ne ressort pas du dossier que l'absence d'autorisation d'établissement nuirait à la recourante (c.4). Rejet du recours.</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entreprise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Déposé dans le délai légal, le recours a pour le surplus été formé par la destinataire de la décision entreprise et il satisfait aux exigences formelles prévues par la loi (art. 75, 79, 95 et 99 LPA-VD). Il y a donc lieu d'entrer en matière sur le fond.</w:t>
      </w:r>
    </w:p>
    <w:p>
      <w:r>
        <w:rPr>
          <w:b/>
        </w:rPr>
        <w:t>E. 2</w:t>
      </w:r>
    </w:p>
    <w:p>
      <w:r>
        <w:t>La recourante demande à être entendue personnellement. a) La procédure administrative est en principe écrite (art. 27 LPA-VD). Les parties participent à l'administration des preuves (art. 34 al. 1 LPA-VD). A ce titre, elles peuvent notamment présenter des offres de preuve au plus tard jusqu’à la clôture de l’instruction (art. 34 al. 2 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Ces exigences découlent du droit d’être entendu. Le droit d 'être entendu garanti par l’art. 29 al. 2 de la Constitution fédérale de la Confédération suisse du 18 avril 1999 (Cst.; RS 101)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L’art. 29 al. 2 Cst. ne confère pas le droit d 'être entendu oralement. Le droit d 'être entendu n'empêche par ailleurs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145 I 167 consid. 4.1; 140 I 285 consid. 6.3.1; 140 I 68 consid. 9.6.1; 134 I 140 consid. 5.3; 131 I 153 consid. 3). b) En l’occurrence, la recourante expose qu'il conviendrait de l'entendre personnellement afin qu'elle puisse démontrer son excellente intégration et la stabilité durable de son emploi. Le tribunal estime toutefois que l'audition personnelle de la recourante n’apparaît pas nécessaire ou de nature à influencer le sort de la cause, dès lors que, comme cela ressort des motifs qui suivent, les deux éléments susmentionnés ne sont pas contestés et ressortent des pièces au dossier; c'est leur appréciation, au vu de l'ensemble des circonstances, qui fait débat.</w:t>
      </w:r>
    </w:p>
    <w:p>
      <w:r>
        <w:rPr>
          <w:b/>
        </w:rPr>
        <w:t>E. 3</w:t>
      </w:r>
    </w:p>
    <w:p>
      <w:r>
        <w:t>L’autorisation d’établissement peut être octroyée au terme d’un séjour plus court si des raisons majeures le justifient.</w:t>
      </w:r>
    </w:p>
    <w:p>
      <w:r>
        <w:rPr>
          <w:b/>
        </w:rPr>
        <w:t>E. 4</w:t>
      </w:r>
    </w:p>
    <w:p>
      <w:r>
        <w:t>L’étranger qui remplit les conditions prévues à l'al. 2, let. b et c, et est apte à bien communiquer dans la langue nationale parlée au lieu de domicile peut obtenir une autorisation d’établissement au terme d’un séjour ininterrompu de cinq ans au titre d’une autorisation de séjour.</w:t>
      </w:r>
    </w:p>
    <w:p>
      <w:r>
        <w:rPr>
          <w:b/>
        </w:rPr>
        <w:t>E. 5</w:t>
      </w:r>
    </w:p>
    <w:p>
      <w:r>
        <w:t>Les considérants qui précèdent conduisent au rejet du recours et à la confirmation de la décision attaquée. La recourante, qui succombe, supportera les frais d’arrêt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