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PE.2024.0094 vom 13. November 2024</w:t>
      </w:r>
    </w:p>
    <w:p>
      <w:r>
        <w:t>VD Tribunal cantonal, 2024-11-13, FR</w:t>
      </w:r>
    </w:p>
    <w:p>
      <w:r>
        <w:rPr>
          <w:b/>
        </w:rPr>
        <w:t xml:space="preserve">Quelle: </w:t>
      </w:r>
      <w:r>
        <w:t>https://mcp.opencaselaw.ch/entscheid/vd_omni_PE.2024.0094</w:t>
      </w:r>
    </w:p>
    <w:p>
      <w:r>
        <w:t>FR: VD_OMNI PE.2024.0094 du 13 novembre 2024</w:t>
      </w:r>
    </w:p>
    <w:p>
      <w:r>
        <w:t>IT: VD_OMNI PE.2024.0094 del 13 novembre 2024</w:t>
      </w:r>
    </w:p>
    <w:p>
      <w:pPr>
        <w:pStyle w:val="Heading2"/>
      </w:pPr>
      <w:r>
        <w:t>Regeste</w:t>
      </w:r>
    </w:p>
    <w:p>
      <w:r>
        <w:t>A.________/Département de l'économie, de l'innovation, de l'emploi et, Service de la population (SPOP) | Rejet du recours contre la décision du DEIEP prononçant la rétrogradation de l'autorisation d'établissement d'un ressortissant étranger en une autorisation de séjour. Sur une période de onze ans, l'intéressé été condamné à huit reprises, persistant dans son comportement en dépit d'un avertissement du SPOP. Il est vrai que sur les huit condamnations, cinq sont antérieures à l'entrée en vigueur de l'art. 63 al. 2 LEI, le 1er janvier 2019, et que la condamnation la plus lourde dont l'intéressé a fait l'objet (peine privative de liberté de douze mois) sanctionne des actes commis avant le 1er janvier 2019. Il n’en demeure pas moins que cette condamnation ainsi que les condamnations antérieures peuvent être prises en compte pour apprécier l'existence ou la persistance d'un déficit d'intégration sous l'empire du nouveau droit. En l'occurrence, au vu de la récurrence de la commission d'infractions consistant, notamment, en de la violence ou des menaces, des délits contre la LArm et du brigandage, il convient d'admettre que le comportement du recourant témoigne, sous l'angle du critère du respect de la sécurité et de l'ordre publics suisses, d'un déficit d'intégration qui est non seulement sérieux, mais également actuel. La mesure de rétrogradation est en outre proportionnée.</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De nationalité espagnole, le recourant peut se prévaloir des droits conférés par l'Accord du 21 juin 1999 entre la Confédération suisse, d'une part, et la Communauté européenne et ses Etats membres, d'autre part, sur la libre circulation des personnes (ALCP; RS 0.142.112.681). Sous réserve des prescriptions applicables en matière d'expulsion pénale, il convient d'appliquer, en matière de fin du séjour, les principes contenus dans la LEI et dans l'ordonnance du 24 octobre 2007 relative à l'admission, au séjour et à l'exercice d'une activité lucrative (OASA; RS 142.201) à moins que les dispositions de l'ALCP ne soient plus favorables que celles de la LEI et de l'OASA.</w:t>
      </w:r>
    </w:p>
    <w:p>
      <w:r>
        <w:rPr>
          <w:b/>
        </w:rPr>
        <w:t>E. 3</w:t>
      </w:r>
    </w:p>
    <w:p>
      <w:r>
        <w:t>Le litige porte sur la question de savoir si c'est à juste titre que l'autorité intimée a prononcé la révocation de l'autorisation d'établissement du recourant et son remplacement par une autorisation de séjour (rétrogradation), dont la prolongation a été subordonnée au respect d'exigences en matière d'intégration.</w:t>
      </w:r>
    </w:p>
    <w:p>
      <w:r>
        <w:rPr>
          <w:b/>
        </w:rPr>
        <w:t>E. 4</w:t>
      </w:r>
    </w:p>
    <w:p>
      <w:r>
        <w:t>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Code annoté de droit des migrations, vol II: Loi sur les étrangers (LEtr), Nguyen/Amarelle [édit.], Berne 2017, ad art. 34 LEI n.1).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aa) Les art. 77a ss de l'ordonnance du 24 octobre 2007 relative à l'admission, au séjour et à l'exercice d'une activité lucrative (OASA; RS 142.201) (dans leur version en vigueur depuis le 1 er janvier 2019) concrétisent ces critères.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(Directives LEI), état au 1 er juin 2024, le Secrétariat d’Etat aux migrations (SEM) cite comme exemples de non-respect de ces deux critères le manquement au paiement de l’impôt et l’accumulation de dettes (ch. 3.3.1.1 et ch. 8.3.1.3; cf. CDAP PE.2022.0141 du 28 juin 2023 consid. 2a). Par ailleurs, selon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Pour interpréter ces critères d'intégration, il importe de s'inspirer de la jurisprudence rendue en lien avec la notion d'"intégration réussie" prévue à l'ancien art. 50 al. 1 let. a LEtr (cf. arrêts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et 8.3.3.1). Sur le plan pénal, des condamnations mineures ne font pas forcément d’emblée obstacle à une intégration réussie; à l'inverse, le fait de ne pas avoir commis d'infractions pénales ne permet pas à lui seul de retenir une intégration réussie (arrêt TF 2C_1053/2021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l'art. 63 al. 2 LEI (arrêts TF 2C_1053/2021 consid. 5.1; 2C_653/2021 consid. 4.3.2). cc) La rétrogradation a une portée distincte de la révocation. La rétrogradation vers une autorisation de séjour prévue à l'art. 63 al. 2 LEI fait office de "mesure intermédiaire" ("mildere Massnahme") lorsqu'un renvoi paraît disproportionné ("unverhältnismässig") mais qu'un avertissement ne serait pas suffisamment efficace (Marc Spescha, Migrationsrecht Kommentar, 5e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du 30 novembre 2022 consid. 4.3; 2C_1053/2021 consid. 5.3). Au sujet de la compatibilité de la rétrogradation avec l’expulsion pénale, le Tribunal fédéral a considéré ce qui suit (ATF 148 II 1 consid. 4). Il a rappelé que l’art. 63 al. 3 LEI (selon lequel est illicite toute révocation fondée uniquement sur des infractions pour lesquelles un juge pénal a déjà prononcé une peine ou une mesure mais a renoncé à prononcer une expulsion)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II 1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consid. 4.3.3). dd)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(art. 61a al. 2 OASA): il n’existe aucun motif de révocation au sens des art. 62 ou 63 al. 2 LEI (let. a) et les critères d’intégration définis à l’art. 58a al. 1 LEI sont remplis (let. b).</w:t>
      </w:r>
    </w:p>
    <w:p>
      <w:r>
        <w:rPr>
          <w:b/>
        </w:rPr>
        <w:t>E. 5</w:t>
      </w:r>
    </w:p>
    <w:p>
      <w:r>
        <w:t>a) En l’espèce, selon la décision attaquée, l’autorité intimée retient que le recourant ne remplit pas le critère d’intégration du respect de la sécurité et de l'ordre publics mentionné à l’art. 58a al. 1 let. a LEI , au vu des huit condamnations dont il a fait l'objet - notamment pour brigandage, délit contre la LArm et violence ou menace contre les autorités – et de son endettement. Elle considère en outre qu’une rétrogradation de son autorisation d’établissement en autorisation de séjour est proportionnée, puisqu’elle permet au recourant de conserver un statut de séjour en Suisse et son lien avec ses deux enfants avec lesquels il entretient des relations étroites, et qu'une mesure plus souple, tel un avertissement, n'apparaît pas suffisante pour l'inciter à s'intégrer dans la mesure où il s'est vu offrir la possibilité de modifier son comportement par l'avertissement du 24 janvier 2022. Le recourant fait grief à la décision attaquée d'avoir tenu compte d'infractions commises avant l'entrée en vigueur de l'art. 63 al. 2 LEI, le 1 er janvier 2019. Par ailleurs, s'i l admet avoir fait encore l'objet d'une condamnation le 4 novembre 2022, alors qu'il avait fait l'objet d'un avertissement par le SPOP, il s'étonne néanmoins du temps qui s'est écoulé – plus de dix-huit mois - entre cette ordonnance pénale et la décision de la Cheffe du DEIEP. Il invoque l'absence d'infraction depuis cette dernière condamnation, son intégration professionnelle, le remboursement de la quasi totalité de ses dettes, et, sur le plan personnel, le suivi d'une psychothérapie lui permettant de canaliser sa colère. Dans ces circonstances, la révocation de son autorisation d'établissement constituerait une mesure disproportionnée et, en lieu et place, un ultime avertissement pourrait lui être adressé. b) Force est de constater que, sur une période de onze ans, le recourant a été condamné pénalement à huit reprises. En particulier, il a été condamné par deux fois, le 16 janvier 2019 et le 17 janvier 2022, à des peines (fermes) privatives de liberté, de respectivement douze mois et 120 jours. On relève par ailleurs qu'il a persisté dans son comportement malgré un avertissement du SPOP du 24 janvier 2022, en commettant le 24 mars 2022 des faits délictueux qui lui ont valu une nouvelle condamnation. C'est le lieu de souligner que les délais qui se sont écoulés entre les actes des différentes instances saisies du dossier du recourant (soit huit mois entre l'ordonnance pénale du 4 novembre 2022 et le préavis du SPOP du 11 juillet 2023, et dix mois entre ce dernier et la décision de l'autorité intimée) ne sont pas critiquables. Il est vrai que sur les huit condamnations, cinq sont antérieures à l'entrée en vigueur de l'art. 63 al. 2 LEI, le 1 er janvier 2019, et que la condamnation la plus lourde dont le recourant a fait l'objet (peine privative de liberté de douze mois) sanctionne des actes commis avant le 1 er janvier 2019. Il n’en demeure pas moins que cette condamnation ainsi que les condamnations antérieures peuvent être prises en compte pour apprécier l'existence ou la persistance d'un déficit d'intégration sous l'empire du nouveau droit (cf. ATF 148 II 1 consid. 5.3). En l'occurrence, au vu de la récurrence de la commission d'infractions consistant, notamment, en de la violence ou des menaces, des délits contre la LArm et du brigandage, il convient d'admettre que le comportement du recourant témoigne, sous l'angle du critère du respect de la sécurité et de l'ordre publics suisses, d'un déficit d'intégration qui est non seulement sérieux, mais également actuel. On relève d'ailleurs que les autorités pénales qui ont condamné le recourant aux deux peines privatives de liberté précitées ne lui ont pas accordé le sursis au motif que ses condamnations précédentes n'avaient pas été en mesure de le détourner de la commission de nouvelles infractions. S'agissant de son endettement, on constate que le recourant s'efforce effectivement de rembourser ses dettes, au vu de l'extrait de l'Office des poursuites du 30 mai 2024, selon lequel il s'est acquitté auprès de l'Office de plusieurs montants et ne faisait plus l'objet à cette date que de deux actes de défaut de biens d'un montant total de 3'657 fr. 60. Il convient également de retenir à son crédit – et qui a été relevé par le Tribunal de police de l'Est vaudois dans son jugement du 10 août 2017 (p. 24) – qu'il a toujours travaillé, excepté lors de courtes périodes pendant lesquelles il a perçu des indemnités de chômage ainsi que lors de son incarcération, de mars 2017 à février 2018, lors de laquelle il a perçu le RI. Le recourant fait valoir que depuis lors, il a également toujours travaillé, et aucun élément au dossier n'indique que tel n'est pas le cas. Quoi qu'il en soit, ses seuls antécédents pénaux sont suffisants pour retenir un défaut d'intégration au sens des art. 63 al. 2 LEI et 58a al. 1 let. a LEI. C'est dès lors à bon droit qu'une mesure de rétrogradation a été prononcée. En outre, la mesure est proportionnée. Il importe en effet de garder à l’esprit que celle-ci a surtout pour but de rappeler au recourant de manière contraignante son obligation d'intégration, consacrée à l’art. 58b LEI (dans ce sens, arrêt TF 2C_723/2022 du 30 novembre 2022 consid. 4.2). Dès lors, cette mesure apparaît comme apte à l’inciter à changer de comportement à l'avenir pour mieux s'intégrer en Suisse. Sous l'angle de la nécessité, on constate que si le recourant semble avoir opéré une prise de conscience et se comporter désormais d'une manière compatible avec l'ordre public, il reste que ce changement est trop récent; il importe donc de faire preuve de réserve à cet égard, au vu du passé judiciaire du recourant et surtout du fait que, bien qu'ayant fait l'objet d'un avertissement par le SPOP, il a persisté dans son comportement délictueux. Un nouvel avertissement est dans ces circonstances insuffisant. La rétrogradation apparaît ainsi comme une mesure nécessaire. Quant à l'intérêt privé du recourant à conserver son autorisation d'établissement, celui-ci ne saurait l'emporter sur l'intérêt public à ce qu'il remédie à son déficit d'intégration, ce d'autant plus que, malgré la rétrogradation, il pourra demeurer en Suisse et continuer à y vivre sa vie de famille. Il lui sera en outre possible de demander à nouveau, dans cinq ans et pour autant qu'il remplisse les exigences en matière d'intégration, l'octroi d'une autorisation d'établissement (cf. art. 34 al. 6 LEI et art. 61a OASA; voir aussi TF 2C_723/2022 du 30 novembre 2022 consid. 4.4 et 2C_1053/2021 du 7 avril 2022 consid. 5.6). C'est ainsi à juste titre que l'autorité intimée a retenu que l'intérêt public à ce que le recourant modifie son comportement primait son intérêt privé à conserver son statut privilégié. Partant, c'est sans violer l'art. 63 al. 2 LEI que l'autorité intimée a nié que l'intégration du recourant fût réussie au sens de l'art. 58a al. 1 let. a LEI et révoqué son autorisation d'établissement afin de la remplacer par une autorisation de séjour (rétrogradation).</w:t>
      </w:r>
    </w:p>
    <w:p>
      <w:r>
        <w:rPr>
          <w:b/>
        </w:rPr>
        <w:t>E. 6</w:t>
      </w:r>
    </w:p>
    <w:p>
      <w:r>
        <w:t>Enfin, en ce qu'elle prévoit, conformément à l'art. 62a al. 2 OASA, la durée de validité de l'autorisation de séjour, les conditions qui régissent la poursuite du séjour en Suisse du recourant et les conséquences sur son séjour en Suisse si ces conditions ne sont pas remplies, la décision attaquée n’est pas critiquable.</w:t>
      </w:r>
    </w:p>
    <w:p>
      <w:r>
        <w:rPr>
          <w:b/>
        </w:rPr>
        <w:t>E. 7</w:t>
      </w:r>
    </w:p>
    <w:p>
      <w:r>
        <w:t>Les considérants qui précèdent conduisent par conséquent au rejet du recours et à la confirmation de la décision attaquée. Le recourant, qui succombe, supportera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