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PE.2024.0092 vom 16. Dezember 2024</w:t>
      </w:r>
    </w:p>
    <w:p>
      <w:r>
        <w:t>VD Tribunal cantonal, 2024-12-16, FR</w:t>
      </w:r>
    </w:p>
    <w:p>
      <w:r>
        <w:rPr>
          <w:b/>
        </w:rPr>
        <w:t xml:space="preserve">Quelle: </w:t>
      </w:r>
      <w:r>
        <w:t>https://mcp.opencaselaw.ch/entscheid/vd_omni_PE.2024.0092</w:t>
      </w:r>
    </w:p>
    <w:p>
      <w:r>
        <w:t>FR: VD_OMNI PE.2024.0092 du 16 décembre 2024</w:t>
      </w:r>
    </w:p>
    <w:p>
      <w:r>
        <w:t>IT: VD_OMNI PE.2024.0092 del 16 dicembre 2024</w:t>
      </w:r>
    </w:p>
    <w:p>
      <w:pPr>
        <w:pStyle w:val="Heading2"/>
      </w:pPr>
      <w:r>
        <w:t>Regeste</w:t>
      </w:r>
    </w:p>
    <w:p>
      <w:r>
        <w:t>A.________ /Département de l'économie, de l'innovation, de l'emploi et, Service de la population (SPOP) | Rejet du recours contre la décision du DEIEP prononçant la rétrogradation de l'autorisation d'établissement d'un ressortissant étranger en une autorisation de séjour. Au vu des actes délictueux commis par l'intéressé (récidive de l'exercice de la médecine dentaire alors qu'il n'est pas titulaire d'un diplôme de médecin-dentiste) ayant conduit à une condamnation à une peine privative de liberté de vingt-quatre mois avec sursis, ainsi que de son important endettement, c'est à juste titre que l'autorité intimée a considéré qu'il présentait, sous l'angle du critère du respect de la sécurité et de l'ordre publics, un sérieux déficit d'intégration au sens de l'art. 63 al. 2 LEI. En outre, la rétrogradation est proportionnée; elle est en particulier nécessaire dès lors que, le recourant ayant persisté dans son comportement délictueux de pratiquer la médecine dentaire malgré les condamnations dont il avait fait l'objet, un avertissement n'apparaît pas suffisant pour atteindre le but d'intégration poursuivi. Recours au TF rejeté (2C_76/2025 du 22 avril 2025).</w:t>
      </w:r>
    </w:p>
    <w:p>
      <w:pPr>
        <w:pStyle w:val="Heading2"/>
      </w:pPr>
      <w:r>
        <w:t>Erwägungen</w:t>
      </w:r>
    </w:p>
    <w:p>
      <w:r>
        <w:rPr>
          <w:b/>
        </w:rPr>
        <w:t>E. 1</w:t>
      </w:r>
    </w:p>
    <w:p>
      <w:r>
        <w:t>Selon l'art. 5 de la loi du 18 décembre 2007 d'application dans le Canton de Vaud de la LEI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d’exigences en matière d'intégration.</w:t>
      </w:r>
    </w:p>
    <w:p>
      <w:r>
        <w:rPr>
          <w:b/>
        </w:rPr>
        <w:t>E. 3</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aa) Les art. 77a ss de l'ordonnance du 24 octobre 2007 relative à l'admission, au séjour et à l'exercice d'une activité lucrative (OASA; RS 142.201) (dans leur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juin 2024,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Pour interpréter ces critères d'intégration,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consid. 5.1; 2C_653/2021 consid. 4.3.2). cc)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 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consid. 4.3; 2C_1053/2021 consid. 5.3). Au sujet de la compatibilité de la rétrogradation avec l’expulsion pénale, le Tribunal fédéral a considéré ce qui suit (ATF 148 II 1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4</w:t>
      </w:r>
    </w:p>
    <w:p>
      <w:r>
        <w:t>a) En l’espèce, selon la décision attaquée, l’autorité intimée retient que le recourant ne remplit pas le critère d’intégration du respect de la sécurité et de l'ordre publics mentionné à l’art. 58a al. 1 let. a LEI, compte tenu de la gravité et de la répétition des infractions qu'il a commises, ainsi que de son lourd endettement. Elle relève qu'il réaliserait d'ailleurs les conditions de révocation d'une autorisation d'établissement au sens de l'art. 63 al. 1 let. a et b LEI, dès lors qu'il a été condamné à une peine privative de liberté de plus d'une année et que les infractions commises constituent une atteinte très grave à la sécurité et à l'ordre publics. Elle considère par ailleurs qu’une rétrogradation de son autorisation d’établissement en autorisation de séjour est proportionnée, une mesure plus souple, tel un avertissement, n'apparaissant pas suffisante, compte tenu de la gravité des infractions commises ainsi que de l'importance et la nature (arriérés de paiements d'impôts) des dettes accumulées; en outre, elle permet au recourant de conserver un statut de séjour en Suisse et de continuer à y vivre sa vie de famille. b) Le recourant fait valoir qu'il ne constitue pas une menace pour la sécurité et l'ordre publics. Il relève qu'il a pris conscience de la gravité de ses actes, qu'il a reconnu les faits et qu'il a récemment fourni des efforts pour changer d'attitude, en se reconvertissant professionnellement notamment. Il travaille en effet depuis le 1 er mai 2024 en tant que barbier à son domicile et se déplace également chez certains de ses clients, domiciliés sur la Riviera. Par ailleurs, il considère que dès lors qu'il a obtenu son autorisation d'établissement a près certaines condamnations, seule la dernière doit par conséquent être prise en compte et non celle du passé, qui a en quelque sorte été "mise à plat" par la délivrance de son autorisation d'établissement. Il fait également valoir qu'il a établi un plan de paiement avec ses créanciers qui lui a permis de réduire ses dettes depuis le 20 mars 2024. Selon lui, un avertissement serait dès lors suffisant, la menace d'une rétrogradation ayant en effet déjà porté ses fruits puisqu'il a entrepris lui-même les démarches en vue d'une reconversion professionnelle, laquelle lui permet d'honorer ses obligations envers ses créanciers. Il a produit les documents suivants: - une attestation d'affiliation auprès de la Caisse cantonale vaudoise de compensation AVS du 16 mai 2024, selon laquelle le recourant y est inscrit comme indépendant pour une activité de coiffeur-barbier à domicile depuis le 1 er juin 2024; - un formulaire de l'Administration cantonale des impôts intitulé "Questionnaire budget" signé par le recourant le 21 mai 2024, par lequel il s'engage à rembourser des actes de défaut de biens fiscaux à raison de 250 fr. à 300 fr. par mois; - deux quittances établies par l'Office des poursuites, selon lesquelles le 10 juin 2024, le recourant s'est acquitté de la somme de 373 fr. 25 en faveur de la Caisse cantonale vaudoise de compensation AVS et de la somme de 140 fr. 40 en faveur du Service des automobiles et de la navigation. c) La Cour constate que le recourant a fait l'objet d'une lourde condamnation une première fois en 2014 pour avoir exercé la médecine dentaire pendant plusieurs années sans être titulaire d'un diplôme de médecin-dentiste et avoir dans ce cadre fait subir des lésions corporelles graves à un patient. Les instances pénales ont relevé que le recourant, qui avait "massacré" la bouche dudit patient (qui en souffrait encore beaucoup de nombreuses années plus tard), n'avait exprimé ni regrets ni excuses, ni démontré aucune prise de conscience. Elles l'ont condamné à une peine privative de liberté de quinze mois (dont sept mois ferme) et à une interdiction d'exercer la profession de technicien-dentiste pendant cinq ans. En 2016, le recourant a fait l'objet d'une deuxième condamnation par les autorités valaisannes pour des faits du même ordre, à une peine pécuniaire avec sursis. En dépit de ces condamnations, le recourant a établi ou fait établir un faux diplôme de stomatologie de l'Université de Ljubljana lui accordant le titre de médecin-dentiste, et a produit en 2017 ce faux diplôme aux autorités suisses, lui permettant d'obtenir ainsi faussement le droit d'exercer la profession de médecin-dentiste. Pendant plusieurs années, il a exercé en tant que médecin-dentiste assistant dans un cabinet de dentiste, et également en tant que médecin-dentiste dans son propre cabinet. Il a été condamné pour ces faits le 21 décembre 2022 à une peine privative de liberté de vingt-quatre mois avec sursis et à une interdiction de pratiquer toute profession ou pratique en lien avec les soins dentaires durant cinq ans. Le tribunal a qualifié la culpabilité du recourant de lourde. À l'instar de l'autorité intimée, la Cour constate, au vu de la persistance du recourant à pratiquer des actes de médecine dentaire alors qu'il n'y est pas habilité, que son comportement dénote, sous l'angle du critère du respect de la sécurité et de l'ordre publics suisses, d'un sérieux déficit d'intégration. Le recourant conteste que soient prises en compte les condamnations de 2014 et 2016, dès lors qu'il a entretemps (le 23 février 2017) été mis au bénéfice d'une autorisation d'établissement. Or, au vu de la nature des infractions les ayant entraînées (pratique de la médecine dentaire sans y être habilité), il convient de les prendre en considération pour apprécier la persistance de son déficit d'intégration – et bien que ces condamnations soient antérieures à l'entrée en vigueur de l'art. 63 al. 2 LEI, le 1 er janvier 2019, conformément à la jurisprudence citée ci-dessus (consid. 3b/cc, 3 ème §). Il convient également de constater, à l'instar de l'autorité intimée, que la peine à laquelle le recourant a été condamné le 21 décembre 2022 (peine privative de liberté de vingt-quatre mois) est une peine de longue durée au sens de l’art. 62 al. 1 let. b LEI qui à elle seule pourrait théoriquement justifier la révocation - pure et simple - de l’autorisation d’établissement, vu l’art. 63 al. 1 let. a LEI. Selon la jurisprudence, constitue en effet une peine privative de longue durée au sens de l’art. 62 al. 1 let. b LEI toute peine dépassant un an d'emprisonnement, indépendamment du fait qu'elle soit ou non assortie (en tout ou partie) du sursis (ATF 146 II 321 consid. 3.1 p. 325; 139 I 145 consid. 2.1 p. 147; 139 II 65 consid. 5.1 p. 72; arrêts TF 2D_33/2022 du 22 février 2023 consid. 2.3; 2C_657/2020 du 16 mars 2021 consid. 2.2). Par ailleurs, aux condamnations pénales du recourant s’ajoute l’important endettement qu'il présente. Selon un extrait du registre des poursuites établi le 20 mars 2024, il faisait à cette date l'objet, durant les cinq dernières années, de poursuites pour un montant total de 84'829 fr. 35 ainsi que, durant les vingt dernières années, de huitante-deux actes de défaut de biens pour une somme de 339'997 fr. 35. On relève que, selon la jurisprudence du Tribunal fédéral, il peut également être tenu compte des dettes qui remontent à une période antérieure au 1 er janvier 2019, dans la mesure où elles existent toujours et que leur montant reste conséquent, ceci quand bien même le recourant s'emploie à les rembourser (cf. arrêt TF 2C_1053/2021 du 7 avril 2022 consid. 5.2.2). Eu égard aux éléments qui précèdent, au vu de l'incapacité du recourant à respecter la sécurité et l'ordre publics, l'autorité intimée était fondée à prononcer la rétrogradation de son autorisation d'établissement en une autorisation de séjour en vertu de l'art. 63 al. 2 LEI. La mesure est en outre proportionnée. Celle-ci est en effet apte à inciter le recourant à changer de comportement à l’avenir pour mieux s’intégrer en Suisse, puisqu’elle lui rappelle de manière contraignante ses obligations d’intégration. Sous l'angle de la nécessité, il convient de constater que le recourant a persisté dans son comportement délictueux de pratiquer la médecine dentaire malgré les condamnations dont il avait fait l'objet pour ce motif. Un avertissement n'apparaît dans ces circonstances pas suffisant pour atteindre le but d'intégration poursuivi. La rétrogradation apparaît ainsi comme une mesure nécessaire. C'est le lieu de relever que, concernant la reconversion professionnelle opérée par le recourant (qui oeuvre désormais comme barbier), si celle-ci peut effectivement être saluée, il s'agit néanmoins de ce qui est attendu de sa part, dès lors qu'il fait l'objet jusqu'au 21 décembre 2027 d'une interdiction de pratiquer toute profession ou pratique en lien avec les soins dentaires. Le même constat doit être effectué concernant le fait qu'il a commencé à rembourser ses dettes. Quant à l'intérêt privé du recourant à conserver son autorisation d'établissement, celui-ci ne saurait l'emporter sur l'intérêt public à ce qu'il remédie à son important déficit d'intégration, ce d'autant plus que, malgré la rétrogradation, il pourra demeurer en Suisse et continuer à y vivre sa vie de famille. Il lui sera en outre possible de demander à nouveau, dans cinq ans et pour autant qu'il remplisse les exigences en matière d'intégration, l'octroi d'une autorisation d'établissement. Dans ces circonstances, en prononçant la rétrogradation de l'autorisation d'établissement du recourant, plutôt qu'en prononçant un avertissement tel qu'invoqué par l'intéressé, l'autorité intimée n'a pas violé le principe de proportionnalité. La conclusion subsidiaire du recourant doit dès lors également être rejetée.</w:t>
      </w:r>
    </w:p>
    <w:p>
      <w:r>
        <w:rPr>
          <w:b/>
        </w:rPr>
        <w:t>E. 5</w:t>
      </w:r>
    </w:p>
    <w:p>
      <w:r>
        <w:t>Enfin, en ce qu'elle prévoit, conformément à l'art. 62a al. 2 OASA, la durée de validité de l'autorisation de séjour, les conditions qui régissent la poursuite du séjour en Suisse du recourant et les conséquences sur son séjour en Suisse si ces conditions ne sont pas remplies, la décision attaquée n’est pas critiquable.</w:t>
      </w:r>
    </w:p>
    <w:p>
      <w:r>
        <w:rPr>
          <w:b/>
        </w:rPr>
        <w:t>E. 6</w:t>
      </w:r>
    </w:p>
    <w:p>
      <w:r>
        <w:t>Les considérants qui précèdent conduisent par conséquent au rejet du recours et à la confirmation de la décision attaquée. Le recourant,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