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PE.2024.0078 vom 23. September 2024</w:t>
      </w:r>
    </w:p>
    <w:p>
      <w:r>
        <w:t>VD Tribunal cantonal, 2024-09-23, FR</w:t>
      </w:r>
    </w:p>
    <w:p>
      <w:r>
        <w:rPr>
          <w:b/>
        </w:rPr>
        <w:t xml:space="preserve">Quelle: </w:t>
      </w:r>
      <w:r>
        <w:t>https://mcp.opencaselaw.ch/entscheid/vd_omni_PE.2024.0078</w:t>
      </w:r>
    </w:p>
    <w:p>
      <w:r>
        <w:t>FR: VD_OMNI PE.2024.0078 du 23 septembre 2024</w:t>
      </w:r>
    </w:p>
    <w:p>
      <w:r>
        <w:t>IT: VD_OMNI PE.2024.0078 del 23 settembre 2024</w:t>
      </w:r>
    </w:p>
    <w:p>
      <w:pPr>
        <w:pStyle w:val="Heading2"/>
      </w:pPr>
      <w:r>
        <w:t>Regeste</w:t>
      </w:r>
    </w:p>
    <w:p>
      <w:r>
        <w:t>A.________/Service de la population (SPOP) | Ressortissant kosovar dont l'autorisation de séjour, obtenue suite à son mariage avec une ressortissante suisse, n'a pas été prolongée suite à la séparation du couple. L'union conjugale a duré moins de trois ans. Le fait que l'ex-épouse ait interrompu sa grossesse sans le consentement du recourant ne constitue pas des violences conjugales à l'encontre de celui-ci. Ce dernier ne saurait non plus se prévaloir d'autres raisons personnelles majeures.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décision attaquée refuse de prolonger l’autorisation de séjour par regroupement familial du recourant, pour le motif que la vie commune avec son épouse a pris fin après moins de trois ans de mariage en Suisse et que la poursuite du séjour du recourant ne s'impose pas pour des raisons personnelles majeures, et prononce son renvoi de Suisse.</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Kosovo, le recourant ne peut se prévaloir d’aucun traité qui lui conférerait un droit au séjour en Suisse (cf. arrêts CDAP PE.2020.0003 du 8 mai 2020 consid. 2; PE.2018.0361 du 31 janvier 2019 consid. 3). Sa situation s'examinera donc au regard du seul droit interne, soit la LEI et l'ordonnance du 24 octobre 2007 relative à l’admission, au séjour et à l’exercice d’une activité lucrative (OASA; RS 142.201), cela sous réserve de la Convention de sauvegarde des droits de l'homme et des libertés fondamentales du 4 novembre 1950 (CEDH; RS 0.101).</w:t>
      </w:r>
    </w:p>
    <w:p>
      <w:r>
        <w:rPr>
          <w:b/>
        </w:rPr>
        <w:t>E. 3.2</w:t>
      </w:r>
    </w:p>
    <w:p>
      <w:r>
        <w:t>p. 232; arrêt TF 2C_201/2019 du 16 avril 2019 consid. 4.1). Le fait d'exercer des contraintes psychiques d'une certaine constance et intensité peut fonder un cas de rigueur au sens de l'art. 50 al. 1 let. b et al. 2 LEI. Une attaque verbale à l'occasion d'une dispute, de même qu'une simple gifle ou le fait pour un époux étranger d'avoir été enfermé une fois dehors par son épouse ne suffisent pas (ATF 138 II 229 consid. 3.2.1 p. 233; arrêt TF 2C_365/2020 du 26 août 2020 consid. 4.1). En revanche, le Tribunal fédéral a considéré qu'un acte de violence isolé, mais particulièrement grave, pouvait à lui seul conduire à admettre l'existence de raisons personnelles majeures au sens de l'art. 50 al. 1 let. b et al. 2 LEI (cf. arrêt TF 2C_40/2019 du 25 mai 2020 consid. 4.2 et les réf. cit.). bb) En l'espèce, le recourant invoque pour la première fois devant la Cour de céans l'existence de violences conjugales. Il soutient que la décision de son ex-épouse d'interrompre sa grossesse constitue une atteinte à ses droits et à son intégrité psychologique. Cette argumentation, qui n'est soutenue par aucun élément, est à la limite de la témérité. Elle dénote d'une certaine méconnaissance par le recourant de la conception suisse qui confère exclusivement à la femme le droit de décider d'interrompre une grossesse. Si l'on peut à la rigueur concevoir que le recourant en ait retiré une certaine amertume, cela n'entre manifestement pas dans la définition des violences conjugales de l'art. 50 al. 1 let. b LEI. f) Le recourant ne saurait non plus se prévaloir d'autres raisons personnelles majeures au sens de l'art. 50 al. 1 let. b LEI pour les motifs qui suivent. aa) Aux termes de cette disposition, les raisons personnelles majeures sont données non seulement lorsque le conjoint est victime de violence conjugale ou que le mariage a été conclu en violation de la libre volonté d’un des époux mais également lorsque la réintégration sociale dans le pays de provenance semble fortement compromise. Cette situation s’apparente en quelque sorte au cas de rigueur selon l’art. 30 al. 1 let. b LEI (arrêt CDAP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bb) En l'espèce, le recourant, âgé de 29 ans, séjourne depuis seulement trois ans et demi en Suisse. Il a vécu la majeure partie de sa vie au Kosovo, où se trouvent sa mère et sa soeur, où il avait un travail avant son départ pour la Suisse et où il retourne très souvent. Rien ne permet de retenir que sa réintégration sociale dans ce pays serait fortement compromise. C'est ainsi à juste titre que l'autorité intimée a retenu qu'aucune raison personnelle majeure n'imposait la poursuite de son séjour en Suisse. g) Force est ainsi de constater que les conditions pour la prolongation de l'autorisation de séjour du recourant, après la dissolution de l'union conjugale, en vertu des art. 50 al. 1 let. b et al. 2 LEI ne sont pas réalisées. h) Il ne résulte en outre pas du dossier qu’un renvoi ne serait pas possible, licite ou raisonnablement exigible au sens de l’art. 83 LEI, ce dont le recourant ne se prévaut d'ailleurs pas.</w:t>
      </w:r>
    </w:p>
    <w:p>
      <w:r>
        <w:rPr>
          <w:b/>
        </w:rPr>
        <w:t>E. 4</w:t>
      </w:r>
    </w:p>
    <w:p>
      <w:r>
        <w:t>a) Suite à son mariage avec une Suissesse, le recourant a obtenu une autorisation de séjour afin de pouvoir vivre aux côtés de celle-ci, conformément à l’art. 42 al. 1 LEI, qui prévoit que le conjoint d’un ressortissant suisse a droit à l’octroi d’une autorisation de séjour et à la prolongation de sa durée de validité à condition de vivre en ménage commun avec lui. Désormais divorcé, le recourant ne remplit plus les conditions pour la prolongation de son autorisation de séjour pour regroupement familial au sens de cette disposition. b) Cela étant, l’art. 50 al. 1 LEI prévoit qu’après dissolution de la famille, le droit du conjoint à l’octroi d’une autorisation de séjour et à la prolongation de sa durée de validité en vertu de l’art. 42 subsiste lorsque l’union conjugale a duré au moins trois ans et que les critères d’intégration définis à l’art. 58a sont remplis (let. a), ou si la poursuite du séjour en Suisse s’impose pour des raisons personnelles majeures (let. b). c) La durée de l'union conjugale d'au moins trois ans requise par l'art. 50 al. 1 let. a LEI se calcule depuis la date du mariage, à condition que la cohabitation ait lieu en Suisse, jusqu'à ce que les époux cessent d'habiter sous le même toit (ATF 136 II 133 consid. 3.2 in fine et 3.3). Cette limite de 36 mois est absolue et ne peut être assouplie, même de quelques jours (arrêt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arrêt TF 2C_748/2011 du 11 juin 2012 consid. 2.1). S'il est possible de déroger au principe du ménage commun pour des raisons majeures (d'ordre professionnel, familial ou autre) qui justifient que les époux vivent provisoirement séparés (cf. art. 49 LEI), un lien conjugal effectif doit être maintenu durant ladite période. La notion d'union conjugale de l'art. 50 al. 1 let. a LEI implique une relation conjugale effectivement vécue et une volonté matrimoniale commune de la part des époux. En règle générale, il convient de se baser sur la durée de cohabitation extérieurement perceptible. Il y a lieu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En outre, dans le calcul des trois ans d'union conjugale au sens de l'art. 50 al. 1 let. a LEI, il n'est possible de cumuler différentes phases d'union conjugale que si les époux conservent une volonté matrimoniale commune pendant les périodes de séparation (ATF 140 II 345 consid. 4.4.1, 289 consid. 3.5.1 et 3.7; 138 II 229 consid. 2; 137 II 345 consid. 3.1.2; TF 2C_431/2023 du 26 octobre 2023 consid. 6.2; 2C_516/2022 du 22 mars 2023 consid. 4.2). d) En l'espèce, la durée de vie commune des époux doit être comptabilisée à partir de la date d'entrée du recourant en Suisse, à savoir le 4 décembre 2020, ce qui n'est pas contesté. S'agissant de la séparation, l'autorité intimée retient qu'elle a eu lieu, selon les déclarations du 21 septembre 2023 du recourant, en février-mars 2022, mais au plus tard le 1 er juin 2022, selon l'annonce par celui-ci au Contrôle des habitants de Lausanne. L e recourant fait, lui, valoir que les séparations qui sont intervenues au sein du couple n'étaient que temporaires, et que son épouse et lui ont maintenu leur engagement conjugal jusqu'au divorce prononcé le 11 septembre 2023, ce qui porte la durée effective de l'union conjugale à presque trois ans. Or, au vu des déclarations des époux devant le SPOP (cf. ci-dessus, consid. B), il apparaît qu'à partir du 1 er juin 2022, il n'y avait plus de volonté de poursuivre la vie commune. Ainsi, si B.________ a déclaré en substance qu'il était difficile de fixer une date claire de séparation, elle a néanmoins indiqué qu'à partir du 1 er juin 2022, "chacun [était] parti vivre de son côté". Quoi qu'il en soit, même à supposer que l'on retienne la date du divorce, la durée de trois ans ne serait pas atteinte. Il s'ensuit que la première condition posée par l'art. 50 al. 1 let. a LEI n'est pas réalisée. Les conditions posées par cette disposition étant cumulatives, il n’y a pas lieu d’examiner si le recourant peut se prévaloir d'une intégration réussie au sens de l' art. 58a LEI , étant précisé que cela paraît au demeurant discutable. Seul l' art. 50 al. 1 let. b LEI peut encore entrer en ligne de compte. e) Aux termes de l’art. 50 al. 2 LEI, les raisons personnelles majeures visées à l’art. 50 al. 1 let. b sont notamment données lorsque le conjoint est victime de violence conjugale, que le mariage a été conclu en violation de la libre volonté d’un des époux ou que la réintégration sociale dans le pays de provenance semble fortement compromise. En l’occurrence, le recourant invoque avoir été victime de violences conjugales de la part de son épouse, justifiant la poursuite de son séjour en Suisse. aa)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p. 233; arrêt TF 2C_1030/2018 du 8 février 2019 consid. 4.1). La notion de violence conjugale inclut également la violence psychologique. A l'instar de violences physiques, seuls des actes de violence psychique d'une intensité particulière peuvent justifier l'application de l'art. 50 al. 2 let. b LEI (ATF 138 II 229 consid.</w:t>
      </w:r>
    </w:p>
    <w:p>
      <w:r>
        <w:rPr>
          <w:b/>
        </w:rPr>
        <w:t>E. 5</w:t>
      </w:r>
    </w:p>
    <w:p>
      <w:r>
        <w:t>Les considérants qui précèdent conduisent au rejet du recours et à la confirmation de la décision attaquée. Le SPOP fixera au recourant un nouveau délai de départ approprié (cf. art. 64d LEI; arrêts TF 2C_815/2018 du 24 avril 2019 consid. 5.4 et 5.5; 2C_631/2018 du 4 avril 2019 consid. 6). Vu l’issue de la cause, les frais de justice sont mis à la charge du recourant (art. 49 al. 1 LPA-VD). Il n'est pas alloué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