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PE.2024.0074 vom 21. Oktober 2024</w:t>
      </w:r>
    </w:p>
    <w:p>
      <w:r>
        <w:t>VD Tribunal cantonal, 2024-10-21, FR</w:t>
      </w:r>
    </w:p>
    <w:p>
      <w:r>
        <w:rPr>
          <w:b/>
        </w:rPr>
        <w:t xml:space="preserve">Quelle: </w:t>
      </w:r>
      <w:r>
        <w:t>https://mcp.opencaselaw.ch/entscheid/vd_omni_PE.2024.0074</w:t>
      </w:r>
    </w:p>
    <w:p>
      <w:r>
        <w:t>FR: VD_OMNI PE.2024.0074 du 21 octobre 2024</w:t>
      </w:r>
    </w:p>
    <w:p>
      <w:r>
        <w:t>IT: VD_OMNI PE.2024.0074 del 21 ottobre 2024</w:t>
      </w:r>
    </w:p>
    <w:p>
      <w:pPr>
        <w:pStyle w:val="Heading2"/>
      </w:pPr>
      <w:r>
        <w:t>Regeste</w:t>
      </w:r>
    </w:p>
    <w:p>
      <w:r>
        <w:t>A.________ /Service de la population (SPOP) | Ressortissante de Russie, la recourante a obtenu une autorisation de séjour au titre du regroupement familial avec son époux étudiant, ressortissant de l’UE, lui-même titulaire d’une autorisation de séjour UE/AELE aux fins de formation. Dans la mesure où son droit à une autorisation de séjour découle de celui de son conjoint, la recourante n’est pas fondée à se prévaloir d’un séjour durable en Suisse avant la délivrance en faveur de ce dernier d’une autorisation de séjour dans le but d’exercer une activité économique salariée. Au surplus, seul l’étudiant auquel une autorisation de séjour durable, soit en l’espèce le conjoint de la recourante, est fondé à se prévaloir de la circonstance particulière énoncée à l’art. 34 al. 5 2e phr. LEI, aux termes duquel les séjours effectués à des fins de formation ou de formation continue sont pris en compte lorsque, une fois ceux-ci achevés, l’étranger a été en possession d’une autorisation de séjour durable pendant deux ans sans interruption. Confirmation du refus d’octroyer une autorisation d’établissement à titre anticipé en faveur de la recourante.</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la destinataire de la décision entreprise et il satisfait aux exigences formelles prévues par la loi (art. 75, 79, 95 et 99 LPA-VD). Il y a donc lieu d'entrer en matière sur le fond.</w:t>
      </w:r>
    </w:p>
    <w:p>
      <w:r>
        <w:rPr>
          <w:b/>
        </w:rPr>
        <w:t>E. 2</w:t>
      </w:r>
    </w:p>
    <w:p>
      <w:r>
        <w:t>La recourante s’en prend au refus de l’autorité intimée de délivrer en sa faveur une autorisation d’établissement; elle fait valoir que les conditions de l’art. 34 al. 2 let. a à c de la loi fédérale du 16 décembre 2005 sur les étrangers et l’intégration (LEI; RS 142.20) seraient remplies en la présente occurrence. Seule est en discussion in casu la durée du séjour en Suisse de la recourante (let. a); les autres conditions (let. b et c) n’ont pas à être examinées. Dans la mesure où son conjoint possède la nationalité maltaise, la recourante peut se prévaloir des droits conférés par l'Accord du 21 juin 1999 entre la Confédération suisse, d'une part, et la Communauté européenne et ses Etats membres, d'autre part, sur la libre circulation des personnes (ALCP; RS 0.142.112.681). Toutefois, la délivrance d'une autorisation d'établissement n'est pas réglementée par l'accord et ses protocoles (cf. Directive du Secrétariat d'Etat aux migrations [SEM] concernant l'introduction progressive de la libre circulation des personnes, II. Accord sur la libre circulation des personnes, version au 1 er janvier 2024 [ci-après: Directives OLCP], ch. 1.3.3/2.8.1). L’art. 5 de l’ordonnance fédérale du 22 mai 2002 sur l’introduction de la libre circulation des personnes (OLCP; RS 142.203) dispose à cet égard que les ressortissants de l’UE et de l’AELE ainsi que les membres de leur famille reçoivent une autorisation d’établissement UE/AELE de durée indéterminée sur la base de l’art. 34 LEI et des art. 60 à 63 de l’ordonnance fédérale relative à l’admission, au séjour et à l’exercice d’une activité lucrative, du 24 octobre 2007 (OASA; RS 142.201), ainsi qu’en conformité avec les conventions d’établissement conclues par la Suisse. En la matière, il y a donc lieu d'appliquer exclusivement les dispositions de la LEI, de l’OASA, ainsi que les accords d'établissement conclus par la Suisse (cf. arrêt TF 2C_1144/2014 du 6 août 2015 consid. 4.1; voir aussi Laurent Merz, Le droit de séjour selon l’ALCP et la jurisprudence du Tribunal fédéral, in : RDAF 2009 I 248 ss, p. 268 avec renvoi à l'ATF 130 II 1 consid. 3.2 p. 6).</w:t>
      </w:r>
    </w:p>
    <w:p>
      <w:r>
        <w:rPr>
          <w:b/>
        </w:rPr>
        <w:t>E. 3</w:t>
      </w:r>
    </w:p>
    <w:p>
      <w:r>
        <w:t>L’autorisation d’établissement peut être octroyée au terme d’un séjour plus court si des raisons majeures le justifient.</w:t>
      </w:r>
    </w:p>
    <w:p>
      <w:r>
        <w:rPr>
          <w:b/>
        </w:rPr>
        <w:t>E. 4</w:t>
      </w:r>
    </w:p>
    <w:p>
      <w:r>
        <w:t>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w:t>
      </w:r>
    </w:p>
    <w:p>
      <w:r>
        <w:rPr>
          <w:b/>
        </w:rPr>
        <w:t>E. 5</w:t>
      </w:r>
    </w:p>
    <w:p>
      <w:r>
        <w:t>Les considérants du présent arrêt conduisent le Tribunal à rejeter le recours et à confirmer la décision attaquée. Le sort du recours commande que la recourante, qui succombe, en supporte les frais (cf. art. 49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