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PE.2024.0057 vom 10. Dezember 2024</w:t>
      </w:r>
    </w:p>
    <w:p>
      <w:r>
        <w:t>VD Tribunal cantonal, 2024-12-10, FR</w:t>
      </w:r>
    </w:p>
    <w:p>
      <w:r>
        <w:rPr>
          <w:b/>
        </w:rPr>
        <w:t xml:space="preserve">Quelle: </w:t>
      </w:r>
      <w:r>
        <w:t>https://mcp.opencaselaw.ch/entscheid/vd_omni_PE.2024.0057</w:t>
      </w:r>
    </w:p>
    <w:p>
      <w:r>
        <w:t>FR: VD_OMNI PE.2024.0057 du 10 décembre 2024</w:t>
      </w:r>
    </w:p>
    <w:p>
      <w:r>
        <w:t>IT: VD_OMNI PE.2024.0057 del 10 dicembre 2024</w:t>
      </w:r>
    </w:p>
    <w:p>
      <w:pPr>
        <w:pStyle w:val="Heading2"/>
      </w:pPr>
      <w:r>
        <w:t>Regeste</w:t>
      </w:r>
    </w:p>
    <w:p>
      <w:r>
        <w:t>A.________/Service de la population (SPOP) | Rejet du recours d'un ressortissant roumain contre la révocation de son autorisation de séjour. Le recourant, pour autant qu'il l'ait acquise, a perdu la qualité de travailleur. Les périodes durant lesquelles il a été en incapacité de travailler ne peuvent être assimilées à une période d'emploi. De même, les mesures d'insertion professionnelle auxquelles il a pris part ne relèvent pas du marché normal de l'emploi et ne constituent pas une activité professionnelles réelle et effective. Quant à sa situation actuelle, les missions qu'il effectue, au regard du salaire perçu et des heures travaillées, sont marginales et accessoires. Elles ne suffisent pas à lui conférer le statut de travailleur (c. 3f). La situation du recourant n'est pas constitutive d'un cas individuel d'extrême gravité, au regard notamment des condamnations prononcées à son endroit (c. 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par le destinataire de la décision attaquée (art. 95 LPA-VD), le recours satisfait de plus aux exigences formelles prévues par la loi (art. 75, 79 et 99 LPA-VD), si bien qu’il y a lieu d’entrer en matière sur le fond.</w:t>
      </w:r>
    </w:p>
    <w:p>
      <w:r>
        <w:rPr>
          <w:b/>
        </w:rPr>
        <w:t>E. 2</w:t>
      </w:r>
    </w:p>
    <w:p>
      <w:r>
        <w:t>Est litigieuse la question de savoir si c’est à juste titre que l’autorité intimée a refusé d’octroyer au recourant une autorisation de séjour UE/AELE, subsidiairement de courte durée UE/AELE, au motif qu’il avait perdu la qualité de travailleur et prononcé son renvoi de Suisse. Les ressortissants étrangers ne bénéficient en principe d'aucun droit à l'obtention d'une autorisation de séjour et de travail sauf s'ils peuvent le déduire d'une norme particulière du droit fédéral ou d'un traité international (ATF 135 II 1 consid. 1.1; 131 II 339 consid. 1). En l’espèce, le recourant est de nationalité roumaine et peut se prévaloir des droits conférés par l’ALCP. La loi fédérale du 16 décembre 2005 sur les étrangers et l'intégration (LEI; RS 142.20), qui règle notamment l'entrée en Suisse, la sortie de Suisse, le séjour des étrangers et le regroupement familial (al. 1), n'est applicable aux ressortissants des Etats membres de l'UE, aux membres de leur famille et aux travailleurs détachés par un employeur ayant son siège ou son domicile dans un de ces Etats que dans la mesure où l'ALCP n'en dispose pas autrement ou lorsque la LEI prévoit des dispositions plus favorables (art. 2 al. 2).</w:t>
      </w:r>
    </w:p>
    <w:p>
      <w:r>
        <w:rPr>
          <w:b/>
        </w:rPr>
        <w:t>E. 3</w:t>
      </w:r>
    </w:p>
    <w:p>
      <w:r>
        <w:t>Le recourant soutient avoir retrouvé la qualité de travailleur en ayant commencé un nouvel emploi dès le 29 juin 2023, puis en ayant débuté une mesure d’insertion professionnelle dès le 5 décembre 2023. a) D'après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Conformément à l'art. 6 par. 2 annexe I ALCP, le travailleur salarié qui occupe un emploi d'une durée supérieure à trois mois et inférieure à un an au service d'un employeur de l'Etat d'accueil reçoit un titre de séjour d'une durée égale à celle prévue dans le contrat. Selon l'art.</w:t>
      </w:r>
    </w:p>
    <w:p>
      <w:r>
        <w:rPr>
          <w:b/>
        </w:rPr>
        <w:t>E. 6</w:t>
      </w:r>
    </w:p>
    <w:p>
      <w:r>
        <w:t>al. 6 annexe I ALCP en outre,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b) La qualité de travailleur salarié constitue une notion autonome de droit de l'Union européenne, qui doit s'interpréter en tenant compte de la jurisprudence de la Cour de Justice (ATF 131 II 339 consid. 3.1; TF 2C_374/2018 du 15 août 2018 consid. 5.3.1; 2C_99/2018 du 15 mai 2018 consid. 4.2; 2C_567/2017 du 5 mars 2018 consid. 4.2.1).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2.2.4; TF 2C_374/2018 précité consid. 5.3.1; 2C_99/2018 précité consid. 4.2; 2C_567/2017 précité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2C_99/2018 précité consid. 4.2 et les références). La loi et la jurisprudence n'exigent pas que l'intéressé trouve un "emploi stable", mais qu'il exerce une activité réelle et effective (cf. ATF 141 II 1 consid. 2.2.1; TF 2C_835/2015 du 31 mars 2016 consid. 4.1 et les références).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découle encore de ce qui précède que la qualité de travailleur selon l'ALCP s'applique également aux "working poors", c'est-à-dire aux travailleurs qui, bien qu'exerçant une activité réelle et effective, touchent un revenu qui ne suffit pas pour vivre ou faire vivre leur famille dans l'Etat d'accueil (TF 2C_835/2015 précité consid. 3.3 et les références). Il n’en demeure pas moins que,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141 II 1 consid. 2.2.4; 131 II 339 consid. 3.4; TF 2C_716/2018 du 13 décembre 2018 consid. 3.4; 2C_374/2018 précité consid. 5.3.2; 2C_99/2018 précité consid. 4.2; 2C_567/2017 précité consid. 4.2.1). Pour juger du statut de travailleur, le critère déterminant est celui de l’intégration au marché du travail (Christine Kaddous/Diane Grisel, La libre circulation des personnes et des services, 2 ème éd., Bâle, 2012, p. 893). La protection accordée par l’art. 6 al. 6 annexe I ALCP ne concerne en effet que les personnes qui sont intégrées au marché du travail. C’est donc à la lumière de cette notion qu’il faut comprendre la distinction opérée entre d’une part les personnes qui ont exercé " un emploi d'une durée égale ou supérieure à un an au service d'un employeur de l'Etat d'accueil " et celles qui ne peuvent se prévaloir d’une telle durée. Sous cet angle, la personne qui exerce sur plusieurs années des emplois isolés dans le temps, de durée inférieure à un an, ne remplit pas le critère d’intégration sur le marché de l’emploi. Enfin, les périodes de chômage involontaire, ainsi que celles d’incapacité de travail ne peuvent pas être assimilées à des périodes d’emploi dans le calcul de la durée de l’emploi nécessaire à l’acquisition du statut de travailleur selon l’art. 6 al. 1 annexe I ALCP (sur l'ensemble des éléments précités, cf. arrêts PE.2018.0026 du</w:t>
      </w:r>
    </w:p>
    <w:p>
      <w:r>
        <w:rPr>
          <w:b/>
        </w:rPr>
        <w:t>E. 10</w:t>
      </w:r>
    </w:p>
    <w:p>
      <w:r>
        <w:t>janvier 2019; PE.2013.0448 du 14 janvier 2015 consid. 1a; PE.2013.0478 du 4 août 2014 consid. 2; PE.2014.0090 du 10 juin 2014 consid. 3a). La personne qui n'a pas occupé un emploi d'une durée égale ou supérieure à un an ni occupé plusieurs emplois consécutifs d'une durée totale égale ou supérieure à un an n'a ainsi pas acquis le statut de travailleur selon l'art. 6 al. 1 annexe I ALCP (CDAP PE.2013.0478 précité consid. 2; PE.2014.0497 du</w:t>
      </w:r>
    </w:p>
    <w:p>
      <w:r>
        <w:rPr>
          <w:b/>
        </w:rPr>
        <w:t>E. 13</w:t>
      </w:r>
    </w:p>
    <w:p>
      <w:r>
        <w:t>mai 2015 consid. 2b).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peut être qualifiée de travailleur (TF 2C_835/2015 précité consid. 3.3; 2C_1162/2014 du 8 décembre 2015 consid. 3.4; cf. aussi CDAP PE.2020.0033 du 26 juin 2020 consid. 2b/bb; PE.2019.0273 du 12 mars 2020 consid. 2d et la référence). c) Selon les directives et commentaires du Secrétariat d'Etat aux migrations (SEM) concernant l'introduction progressive de la libre circulation des personnes (Directives OLCP, Etat janvier 2024), la situation des travailleurs occupant des missions temporaires doit être réglée ainsi (ch. 4.2.2): " 4.2.2      Contrats de mission Pour les ressortissants UE/AELE nouvellement admis en Suisse qui sont placés ou dont les services sont loués par une entreprise suisse de travail intérimaire […] , les contrats de mission portent en principe sur une durée limitée, généralement inférieure à un an. Il convient par conséquent de régler le séjour en Suisse de la manière suivante: -    s'il ressort de la demande que l'agence place son employé ou loue ses services pour une durée initiale de trois mois au plus, il y a lieu d'utiliser dans un premier temps la procédure d'annonce par le biais du système électronique mis à disposition pour les activités de courte durée […] . -    si l'agence place son employé ou loue ses services pour une durée supérieure à trois mois et inférieure à un an, les autorités cantonales compétentes ne peuvent pas délivrer une autorisation de séjour (permis B UE/AELE). Seule une autorisation de courte durée dont la validité se limite à la durée de la mission (permis L UE/AELE) peut être remise au travailleur […] . Est par conséquent déterminant pour le choix de la procédure à suivre la durée du contrat de travail, respectivement du contrat de mission passé entre l'agence intérimaire et le travailleur et non celle figurant sur le contrat-cadre passé entre l'agence et le travailleur." d) Selon les normes de la Conférence suisse des institutions d’action sociale (ci-après: les normes CSIAS) (Etat 1 er janvier 2023), le forfait mensuel pour l’entretien d’un ménage d’une personne est fixé à 1'031 fr. (C.3.1). Dans le Canton de Vaud, la prestation financière est accordée dans les limites d'un barème établi par le règlement du 26 octobre 2005 d'application de la loi vaudoise du 2 décembre 2003 sur l'action sociale (RLASV; BLV 850.051.1). Il résulte de ce barème, annexé au règlement (cf. art. 22 al. 1 RLASV), que le forfait pour l'entretien et l'intégration sociale s'élève, pour une personne seule, à 1’138 francs. A ce montant s’ajoute la somme de 842 fr. au titre du loyer (charges non comprises), ainsi que les primes d'assurance-maladie. e)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2C_374/2018 précité consid. 5.4 et les références). Entré en vigueur le 1 er juillet 2018, l'art. 61a LEI prévoit désormais une réglementation uniforme de la fin du droit au séjour des ressortissants des Etats membres de l'UE/AELE au bénéfice d'une autorisation de séjour avec activité lucrative en cas de cessation involontaire des rapports de travail.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f) Dans le cas d’espèce, le recourant a obtenu à son arrivée en Suisse en juin 2016 une autorisation de séjour UE/AELE valable cinq ans pour exercer une activité lucrative auprès de B.________ Sàrl à compter du mois d’août de la même année. Il a toutefois été mis au bénéfice du RI dès le mois de janvier 2017. A raison, l’autorité intimée a considéré qu’en exerçant une activité lucrative durant moins d’une année, il n’avait pas acquis le statut de travailleur au sens de l’art. 6 par. 1 annexe ALCP, ce qui n'est au demeurant pas contesté par le recourant. A compter du mois de juin 2017, le recourant a exercé, auprès de différents employeurs, plusieurs missions entrecoupées de périodes sans activité durant lesquelles il était dans l’attente de la prochaine mission, en incapacité de travail, ou encore au bénéfice des indemnités de chômage ou du RI. A partir du mois de novembre 2022, tout en effectuant diverses missions ponctuelles, le recourant a largement bénéficié du RI pour assurer son entretien. Il n’y a pas lieu d’examiner si, entre les mois de juin 2017 et de novembre 2022, il a acquis le statut de travailleur. En effet, la période de perception du RI s'étant étendue du mois de novembre 2022 au mois de novembre 2023, le statut éventuellement acquis auparavant se serait ainsi éteint. L’autorité intimée précise à cet égard que le recourant a perdu la qualité de travailleur " depuis novembre 2022 au plus tard ". Il reste ainsi à déterminer si le recourant a acquis la qualité de travailleur en concluant un contrat de travail à compter du 28 juin 2023, puis en débutant une mesure de réinsertion professionnelle à compter du 5 décembre 2023, comme il le soutient. A la suite de son accident survenu le 29 juin 2023, le recourant a été en incapacité de travailler du 30 juin 2023 au 9 octobre 2023. Durant cette période, il a perçu le RI ainsi que des indemnités de la SUVA. Le recourant a également été en incapacité de travailler du 16 février au mois de mars 2024. Conformément à la jurisprudence précitée, les périodes en incapacité de travail ne peuvent toutefois être assimilées à une période d’emploi dans le calcul de la durée nécessaire à l’acquisition du statut de travailleur (cf. notamment CDAP PE.2018.0026 précité). Quant à la mesure d’insertion professionnelle à laquelle il a pris part à compter du 5 décembre 2023, de même que celle entamée le 17 novembre 2023 par ailleurs, elles ne relèvent pas du marché normal de l’emploi et ne constituent ainsi pas une activité professionnelle réelle et effective au sens de la jurisprudence précitée (TF 2C_716/2018 précité consid. 3.3; CDAP PE.2023.0116 du 22 avril 2024 consid. 3d; PE.2023.0091 du 20 février 2024 consid. 2d). Le recourant n'a donc pas acquis, respectivement retrouvé, la qualité de travailleur par sa prise d'emploi au mois de juin 2023, ni par l'intégration de sa mesure d'insertion au mois de décembre 2023. En dernier lieu, il convient d’examiner la situation actuelle du recourant sur la base des dernières pièces produites concernant sa situation financière. Aux mois de juin, juillet et septembre 2024, il a conclu des contrats avec M.________ en vue d’effectuer des missions de durée déterminée. Ces contrats prévoyaient un salaire horaire brut de 27 fr., comprenant le supplément pour les vacances et jours fériés, ainsi que la part au 13 e salaire. Il résulte des fiches de salaire qu’il a produites que son salaire mensuel net s’est élevé à 1'253 fr. 35 pour juin (ce qui représente 60,50 heures de travail mensuelles), 840 fr. 60 pour juillet (soit 23,50 heures de travail), 673 fr. pour septembre (34 heures de travail) et 151 fr. 95 pour octobre (représentant un décompte complémentaire pour supplément vacances et jours fériés, ainsi que la part de 13 ème salaire). Il y a lieu de constater qu’au regard des standards des institutions d’action sociale (cf. supra consid. 3d), le revenu mensuel perçu par le recourant est insuffisant pour couvrir les besoins du ménage. Le recourant n’indique pas que son revenu serait susceptible d’augmenter prochainement de manière conséquente et durable, ni qu’il mènerait des démarches qui pourraient aboutir à un emploi plus rémunérateur. Ses perspectives professionnelles n’apparaissent en l’état pas favorables au regard notamment de son évolution limitée depuis deux ans. Dans ces conditions, les activités exercées par le recourant doivent être considérées comme marginales et accessoires, l’absence d’activité durant les mois d'avril, mai et août 2024 renforçant cette qualification. Elles ne suffisent par conséquent pas à lui conférer le statut de travailleur communautaire. En définitive, il convient d’admettre avec l’autorité intimée que le recourant a perdu la qualité de travailleur au sens de l’art. 6 annexe I ALCP lui permettant de prétendre à une autorisation de séjour UE/AELE, subsidiairement de courte durée UE/AELE, au plus tard au mois de novembre 2022, faute d’avoir exercé depuis lors une activité lucrative d’une durée égale ou supérieure à un an. 4. L’autorité intimée a retenu que la situation du recourant ne relevait pas d'un cas individuel d'une extrême gravité. a) Aux termes de l'art. 20 OLCP, si les conditions d'admission sans activité lucrative ne sont pas remplies au sens de l'ALCP ou de la Convention instituant l'AELE, une autorisation de séjour UE/AELE peut être délivrée lorsque des motifs importants l'exigent. L'art. 30 al. 1 let. b LEI prévoit quant à lui qu'il est possible de déroger aux conditions d'admission des étrangers (art. 18 à 29 LEI) notamment dans le but de tenir compte des cas individuels d'extrême gravité. Ces dispositions doivent toutes deux être interprétées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même si pris individuellement, ils ne suffisent en principe pas à fonder un cas individuel d'une extrême gravité (ATF 137 II 345 consid. 3.2.3). Ils se rapportent notamment à l'intégration du requérant sur la base des critères définis à l'art. 58 a al. 1 LEI (let. a), à la situation familiale, particulièrement à la période de scolarisation et à la durée de la scolarité des enfants (let. c), à la situation financière (let. d), à la durée de la présence en Suisse (let. e), à l'Etat de santé (let. f) et aux possibilités de réintégration dans l'Etat de provenance (let. g).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c) En l’espèce, le recourant séjourne en Suisse depuis le mois de juin 2016, soit moins de huit ans lors du prononcé de la décision de première instance du 24 janvier 2024. Depuis lors, son séjour se poursuit grâce à l’effet suspensif de son opposition, puis de son recours. Ce séjour ne constitue pas une durée à tel point importante qu'elle permette de conclure à un enracinement particulier. Le recourant, arrivé en Suisse à l’âge de 48 ans, a passé la majeure partie de sa vie dans son pays d’origine, où il a nécessairement conservé des attaches familiales, sociales et culturelles. Il ne devrait ainsi pas rencontrer de difficultés particulières à se réintégrer dans son pays d’origine. En outre, le recourant ne s'est pas créé de situation professionnelle et financière stable depuis le mois de novembre 2022 à tout le moins, comme cela a été démontré ci-dessus (cf. supra consid. 3e). Il est également lieu de relever que le comportement du recourant ne peut être qualifié d'irréprochable puisqu'il a fait l'objet de plusieurs condamnations pénales entre 2016 et 2023. En définitive, l’autorité intimée a considéré à juste titre que la situation du recourant ne relevait pas d'un cas personnel d'extrême gravité. 5. L’autorité intimée a encore retenu que le recourant ne pouvait pas prétendre à l'octroi d'une autorisation de séjour pour personne n'exerçant pas d'activité économique au motif qu’il était au bénéfice de prestations d’aide publique et qu’il ne disposait pas des moyens financiers suffisants. Elle a en outre relevé que le recourant ne pouvait se prévaloir du droit de demeurer en Suisse. Il n'y a toutefois pas lieu d'examiner ce qui précède dès lors que le recourant n'est désormais plus au bénéfice de l'aide sociale et exerce à nouveau une activité lucrative, sous forme de missions. 6. Les considérants qui précèdent conduisent au rejet du recours et à la confirmation de la décision attaquée. L'octroi de l'autorisation de séjour UE/AELE, subsidiairement le renouvellement de l'autorisation de courte durée UE/AELE, étant refusés, c'est à juste titre que l'autorité intimée a prononcé le renvoi de Suisse du recourant (art. 64 al. 1 let. c LEI). Le délai de départ étant échu, il appartiendra au SPOP de lui fixer un nouveau délai. Le recourant, qui succombe, devrait supporter les frais judiciaires (art. 49, 91 et 99 LPA‑VD). Toutefois, au vu des circonstances, il est renoncé à percevoir des frais (art. 50 LPA-VD). Il n’y a pas lieu pour le reste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