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PE.2024.0045 vom 28. November 2024</w:t>
      </w:r>
    </w:p>
    <w:p>
      <w:r>
        <w:t>VD Tribunal cantonal, 2024-11-28, FR</w:t>
      </w:r>
    </w:p>
    <w:p>
      <w:r>
        <w:rPr>
          <w:b/>
        </w:rPr>
        <w:t xml:space="preserve">Quelle: </w:t>
      </w:r>
      <w:r>
        <w:t>https://mcp.opencaselaw.ch/entscheid/vd_omni_PE.2024.0045</w:t>
      </w:r>
    </w:p>
    <w:p>
      <w:r>
        <w:t>FR: VD_OMNI PE.2024.0045 du 28 novembre 2024</w:t>
      </w:r>
    </w:p>
    <w:p>
      <w:r>
        <w:t>IT: VD_OMNI PE.2024.0045 del 28 novembre 2024</w:t>
      </w:r>
    </w:p>
    <w:p>
      <w:pPr>
        <w:pStyle w:val="Heading2"/>
      </w:pPr>
      <w:r>
        <w:t>Regeste</w:t>
      </w:r>
    </w:p>
    <w:p>
      <w:r>
        <w:t>A.________/Service de la population (SPOP) | Recours contre une décision de révocation d'une autorisation de séjour et de renvoi. Ressortissant guinéen arrivé en Suisse en se légitimant au moyen d'une carte d'identité espognole ne lui appartenant pas et qui avait été volée quelques semaines auparavant. C'est à juste titre que le recourant ne fait pas valoir qu'il pourrait continuer à bénéficier directement de cet octroi qui est intervenu sur la base d'une fausse identité et spécifiquement d'une nationalité espagnole que le recourant ne possède en réalité pas. Les conditions pour l'octroi d'une autorisation de séjour pour cas individuel d'extrême gravité sur la base de l'art. 30 al. 1 let. b LEI ne sont au surplus pas réunies. Le renvoi est par ailleurs exigible.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de trente jours dès sa notification, le recours satisfait pour le surplus aux autres conditions formelles. Il convient dès lors d'entrer en matière sur le fond (art. 95, 79 et 99 LPA-VD).</w:t>
      </w:r>
    </w:p>
    <w:p>
      <w:r>
        <w:rPr>
          <w:b/>
        </w:rPr>
        <w:t>E. 2</w:t>
      </w:r>
    </w:p>
    <w:p>
      <w:r>
        <w:t>Le litige porte d'abord sur la révocation de l'autorisation de séjour UE/AELE octroyée par l'autorité intimée au recourant sur la base de la fausse identité sous laquelle il s'est initialement présenté. L'art. 62 al. 1 let. a de la loi fédérale du 16 décembre 2005 sur les étrangers et l'intégration (LEI; RS 142.20) permet à l'autorité compétente de révoquer une autorisation, à l'exception de l'autorisation d'établissement, ou une autre décision fondée sur cette loi, notamment lorsque l'étranger ou son représentant légal a fait de fausses déclarations ou a dissimulé des faits essentiels durant la procédure d'autorisation. Il ressort de la jurisprudence du Tribunal fédéral qu'une révocation fondée sur cette disposition, reposant sur l'obligation de collaborer prévue à l'art. 90 LEI, est possible même lorsque les fausses déclarations ou la dissimulation de faits essentiels n'ont pas été déterminantes pour l'octroi de l'autorisation (TF 2C_47/2010 du 16 juin 2010 consid. 3.1 cité dans les directives LEI, ch. 8.3.1.1). C'est donc à juste titre que le recourant ne fait pas valoir qu'il pourrait continuer à bénéficier directement de cet octroi qui est intervenu sur la base d'une fausse identité et spécifiquement d'une nationalité espagnole que le recourant ne possède en réalité pas. Ce dernier sollicite cependant, dans son recours, l'octroi d'une autorisation de séjour pour cas individuel d'extrême gravité sur la base de l'art. 30 al. 1 let. b LEI, subsidiairement à une admission provisoire sur la base de l'art. 83 LEI. En parallèle, il invoque un risque réel et concret de violation de l'interdiction de la torture au sens de l'art. 3 de la Convention de sauvegarde des droits de l'homme et des libertés fondamentales du 4 novembre 1950 (CEDH; RS 0.101) lié au renvoi dans son pays d'origine. À titre liminaire, on rappellera que l'octroi éventuel d'une autorisation de séjour en faveur du recourant – qu'elle soit fondée sur l'art. 30 al. 1 LEI ou sur l'art. 8 de la Convention du 4 novembre 1950 de sauvegarde des droits de l'homme et des libertés fondamentales (CEDH; RS 0.101) – serait soumis à l'approbation du Secrétariat d'Etat aux migrations (SEM) en vertu des art. 99 al. 2 LEI et 3 let. f et 5 let. d de l'ordonnance du DFJP (Département fédéral de justice et police) du 13 août 2015 relative aux autorisations et aux décisions préalables dans le domaine du droit des étrangers soumises à la procédure d'approbation (RS 142.201.1), de telle sorte que les conclusions prises tendant à l'octroi directement par l'autorité intimée d'une telle autorisation sont irrecevables en tant que telles. On comprend bien cependant que le recourant conclut à ce que le SPOP sollicite l'approbation de cette autorisation auprès du SEM.</w:t>
      </w:r>
    </w:p>
    <w:p>
      <w:r>
        <w:rPr>
          <w:b/>
        </w:rPr>
        <w:t>E. 3</w:t>
      </w:r>
    </w:p>
    <w:p>
      <w:r>
        <w:t>Dans un premier grief, le recourant se prévaut d'une violation de son droit d'être entendu. Il estime que la décision sur opposition rendue par le SPOP n'indique pas les motifs qui l'ont conduit à refuser le cas d'extrême gravité malgré les explications qu'il avait formulées dans son opposition.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En vertu de l’art. 42 al. 1 let. c LPA-VD, la décision contient, exprimés en termes clairs et précis, les faits, les règles juridiques et les motifs sur lesquels elle s’appuie. b) En l'occurrence, contrairement à ce qu'il invoque, le recourant ne s'est pas prévalu, dans son opposition du 22 janvier 2024, du cas de rigueur de l'art. 30 al. 1 let. b LEI et n'a pas non plus expliqué en quoi il serait applicable à sa situation. Au contraire, le recourant semblait admettre qu'une autorisation de séjour pour cas de rigueur n'entrait pas en cause puisqu'il sollicitait uniquement un report de son renvoi. Le tribunal ne voit ainsi pas quelles explications l'autorité intimée n'aurait pas pris en considération et sa motivation, si elle apparaît certes sommaire, était suffisante. On comprend en effet que l'autorité intimée a jugé que l'intégration du recourant en Suisse, ne constituait pas un cas d'extrême gravité. Le recourant a d'ailleurs été en mesure de recourir contre cette décision sur ce point et de faire valoir ses arguments dans son mémoire. Il a encore pu préciser ses arguments dans le cadre de sa réplique, de sa triplique, puis de sa quintuplique et l'autorité intimée a elle‑même eu l'occasion de détailler sa position à trois reprises. c) Dans ces conditions, toute violation du droit d'être entendu peut être écartée, la cour de céans disposant d’un très large pouvoir d’examen en fait et en droit (art. 98 LPA-VD).</w:t>
      </w:r>
    </w:p>
    <w:p>
      <w:r>
        <w:rPr>
          <w:b/>
        </w:rPr>
        <w:t>E. 4</w:t>
      </w:r>
    </w:p>
    <w:p>
      <w:r>
        <w:t>La LEI s’applique aux étrangers dans la mesure où leur statut juridique n’est pas réglé par d’autres dispositions du droit fédéral ou par des traités internationaux conclus par la Suisse (art. 2 al. 1 LEI). Ressortissant de Guinée-Bissau, le recourant ne peut pas se prévaloir d’un accord d’établissement entre son pays d’origine et la Suisse, si bien qu’il convient d’examiner le recours au regard de la LEI et de ses ordonnances d’application. a)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il suit: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b) Conformément à l'art. 58a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S'agissant du niveau linguistique, il résulte de l'art. 77d al. 1 let. d OASA que les connaissances d'une langue nationale sont reconnues si l'étranger fournit une attestation conforme aux normes de qualité généralement reconnues en matière de tests linguistiques confirmant qu'il possède les compétences requises dans la langue nationale concernée. Selon la jurisprudence du Tribunal fédéral relative au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En principe, l’exigence minimale correspond au niveau A1 du Cadre européen commun de référence pour les langues (CECR) (cf. TF 2C_175/2015 du 30 octobre 2015 consid. 2.3; 2C_65/2014 du 27 janvier 2015 consid. 3.5; CDAP PE.2023.0047 du 10 juin 2024 consid. 3d/aa). Au sujet de la participation à la vie économique, l'art. 58a LEI est complété par l’art. 77e al. 1 OASA, aux termes duquel une personne participe à la vie économique lorsque son revenu, sa fortune ou des prestations de tiers auxquelles elle a droit lui permettent de couvrir le coût de la vie et de s’acquitter de son obligation d’entretien. Selon l'art. 58a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77f OASA ne sont pas énumérées de manière exhaustive; il peut être dérogé aux critères d'intégration énoncés lorsqu'en raison de la situation personnelle de l'intéressé, ces exigences paraissent déraisonnables (CDAP PE.2019.0291 du 5 août 2020 consid. 5b). Dans le même sens, l'art. 31 al. 5 OASA précise que si le requérant n'a pu participer à la vie économique ou acquérir une formation (art. 58a al. 1 let. d LEI) en raison de son âge, de son état de santé ou d'une interdiction de travailler en vertu de l'art. 43 LEI, il convient d'en tenir compte lors de l'examen de sa situation financière. c) En l'espèce, le recourant est entré en Suisse en décembre 2021 sur la base d'une fausse identité. Il y fait l'objet, notamment pour cela, d'une condamnation pénale. Il ne séjourne donc à ce jour en Suisse que depuis moins de trois ans et encore sur la base d'une part de fausses déclarations et d'autre part de l'effet suspensif accordé sur la base des procédures d'opposition et de recours. S’agissant ensuite du comportement dont le recourant a fait preuve durant son séjour en Suisse, le tribunal ne saurait faire abstraction des infractions aux prescriptions de police des étrangers que l’intéressé a commises et surtout de l'usurpation d'identité sur la base de laquelle il est entré en Suisse. Pour ce qui est des connaissances linguistiques requises, le dossier ne contient aucune attestation de suivi de cours de langue, mais il ressort notamment des pièces du dossier pénal concernant le recourant qu'il semble maîtriser le français, aucun interprète n'ayant été requis. On peut ainsi supposer qu'il dispose des compétences linguistiques requises, à tout le moins à l'oral, pour lui permettre de se faire comprendre dans les situations de la vie quotidienne. S'agissant de la situation familiale du recourant, il faut relever qu'il n'a pas de membre de sa famille qui résiderait en Suisse, à tout le moins, cela n'a jamais été allégué. Enfin, si le recourant exerce certes une activité lucrative en Suisse qui lui permet de subvenir à ses besoins sans dépendre de l'aide sociale, il faut à nouveau rappeler que c'est en usurpant l'identité d'une autre personne qu'il est parvenu à trouver du travail en Suisse. Cet élément est de nature à relativiser ses efforts d'intégration professionnelle. Quoi qu'il en soit, le dossier ne démontre aucune relation particulièrement étroite avec la Suisse rendant inenvisageable un retour du recourant dans son pays d'origine. Partant, au terme d'une appréciation de l'ensemble des circonstances de la présente cause, le tribunal, à l'instar de l'autorité inférieure, parvient à la conclusion que la situation du recourant, envisagée dans sa globalité, n'est pas constitutive d'un cas individuel d'extrême gravité au sens de l'art. 30 al. 1 let. b LEI et de la jurisprudence restrictive en la matière.</w:t>
      </w:r>
    </w:p>
    <w:p>
      <w:r>
        <w:rPr>
          <w:b/>
        </w:rPr>
        <w:t>E. 5</w:t>
      </w:r>
    </w:p>
    <w:p>
      <w:r>
        <w:t>Le recourant soutient encore que son renvoi de Suisse est inexigible, ayant été arrêté par la police en Guinée-Bissau en 2021 et risquant ainsi de l'être à nouveau s'il y retourne. a) L’admission provisoire est régie par les art. 83 ss LEI. L’exécution du renvoi n’est pas licite lorsque le renvoi de l’étranger dans son État d’origine, dans son État de provenance ou dans un État tiers est contraire aux engagements de la Suisse relevant du droit international (al. 3). C’est notamment le cas si l’étranger peut démontrer qu'il serait exposé en cas de renvoi à un traitement prohibé par l'art. 3 CEDH (RS 0.101) ou par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(TAF E-2154/2019 du 27 novembre 2023 consid. 6.4 et l’arrêt cité; E-3749/2020 du 5 octobre 2022 consid. 9.3; E-4930/2019 du 10 mai 2022 consid. 9.4). Par ailleurs, selon l'art. 83 LEI, l’exécution de la décision peut ne pas non plus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(TAF E-2154/2019 du 27 novembre 2023 consid. 7.1 et les arrêts cités; TAF D-3749/2020 du 5 octobre 2022 consid. 10.1; E-4930/2019 du 10 mai 2022 consid. 10.1). S'agissant spécifiquement de la Guinée-Bissau, le Conseil fédéral suisse et le gouvernement de la République de Guinée-Bissau ont conclu un accord de coopération en matière de migration (RS 0.142.113.839) qui règle les questions relatives à la réadmission de personnes en situation irrégulière et permet de renforcer la bonne gouvernance de la migration en Guinée-Bissau. b) En l'occurrence, il est notoire que la Guinée-Bissau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(TAF D-1885/2019 du 10 novembre 2019 consid. 8.3). Certes, depuis le coup d'Etat qui s'est produit dans ce pays, la Suisse a pris par ordonnance du 1 er juin 2012 des mesures à l’encontre de la Guinée-Bissau (RS 946.231.138.3) qui contient l’ensemble des mesures de sanctions suisses et est juridiquement contraignante. Dans sa version adaptée le 7 octobre 2024, la liste contient plusieurs noms de personnes sous sanction internationale, singulièrement des commandants militaires ayant pris part aux coup d'Etat précité. Quoi qu'il en soit, actuellement, le pays est dirigé par une personne élue largement après ces évènements. Certes encore, les 1-2 février 2022, une tentative de coup d'Etat a échoué au palais du gouvernement à Bissau et les 30 novembre et 1 er décembre 2023, des affrontements armés ont encore éclaté dans la capitale Bissau. Comme l'indique à raison le recourant, le parlement national a été dissout le 4 décembre 2023 par le Président. La situation reste donc "instable et parfois tendue" (DFAE, Conseils pour les voyages, Guinée-Bissau, consulté à la date de l'arrêt). On ne saurait cependant reconnaître l'existence dans l'ensemble de ce pays d'une situation de guerre, de guerre civile ou de violence généralisée permettrait d’emblée de présumer, à propos de tous les ressortissants de ce pays, l’existence d’une mise en danger concrète au sens de l'art. 83 al. 4 LEI, indépendamment des circonstances du cas d’espèce. C'est d'autant plus le cas que la Suisse et le gouvernement Guinéen ont conclu l'accord international, précité, en février 2023, qui doit faciliter la réadmission des ressortissants de ce dernier pays, attestant au surplus des relations consulaires entre les deux pays. Sur le plan personnel, les éléments apportés par le recourant qui n'allègue pas appartenir à catégorie de personnes particulièrement vulnérables, ne permettent pas non plus de rendre vraisemblable que l'exécution de son renvoi serait illicite ou ne pourrait être raisonnablement exigé. Il convient d’abord de relever que le recourant a invoqué la situation prévalant en Guinée-Bissau pour s’opposer à son renvoi pour la première fois au stade de son opposition, en indiquant par ailleurs d'abord ne pas s'opposer à son renvoi mais vouloir attendre la nouvelle élection présidentielle. A cet égard, il soutient désormais, pièces à l'appui, avoir fait l'objet d'un mandat d'arrêt délivré en date du ******** 2020 et avoir été détenu entre le 18 avril 2020 et le 23 avril 2020 pour avoir participé à une marche non autorisée du mouvement "********" (ci-après: ********). Il faut remarquer d'emblée à cet égard que la pièce 11 produite par le recourant, alléguée comme étant le mandat de répression risquant de le conduire en prison, mentionne de manière erronée le nom du mouvement comme "********". Cette désignation erronée peut apparaître comme troublante. En outre, s'agissant de la temporalité, il faut voir que le mandat d'arrêt est daté de deux mois après sa mise en détention. Le recourant y voit une preuve qu'en cas de retour dans son pays, il serait immédiatement arrêté. On peut aussi y voir une justification a posteriori de son incarcération au vu de la plainte déposée par son avocat à raison d'une détention illicite qu'il invoque dans son écriture du 29 mai 2024. La doctrine (cf. notamment Rui Jorge Semedo, Ativismo Político-social e Crise Institucional na Guiné-Bissau, Cadernos de Estudos Africanos, p. 13-36), a montré l'existence du mouvement précité en Guinée-Bissau, ayant opté  pour des manifestations de rue comme l’une de ses principales armes et dont l’action s’est heurtée à des résistances dans les institutions de l’Etat, en particulier au sein du ministère public, qui a eu recours à la "loi sur les manifestations", prévoyant des horaires spécifiques pour manifester, pour justifier l’illégalité des manifestations menées par la ********. Affirmant que le jour de la semaine et l’heure à laquelle le mouvement manifestait habituellement étaient illégaux compte tenu des dispositions en vigueur, les forces de l’ordre public du ministère de l’Intérieur ont reçu l’ordre de prévenir et de réprimer les manifestations. En réponse à la restriction de la liberté des citoyens inscrite dans la Constitution de la République, la ******** a alors décidé de poursuivre l’Etat de Guinée-Bissau devant la Cour de la Communauté économique des Etats de l’Afrique de l’Ouest (CEDEAO), un processus qui serait toujours en attente d'un jugement au fond. Il résulte de ce qui précède que les éléments invoqués par le recourant, même compte tenu des précisions ci-dessus, ne permettent pas de retenir qu'il existe pour ce dernier un véritable risque concret et sérieux d'être victime de tortures, ou de traitements inhumains ou dégradants en cas de renvoi dans son pays. Comme on l'a vu, la jurisprudence exige plus qu'une simple possibilité de subir des mauvais traitements. En l'espèce, les manifestations auxquelles a vraisemblablement pris par le recourant se sont déroulées il y a quatre ans. Arrêté, dans des conditions qu'il n'explique pas, le recourant a été libéré par la suite, après cinq jours. Il n'est ainsi pas dans la situation qu'il dit craindre de personnes incarcérées depuis plus d'un an. Le recourant admet toutefois lui-même disposer dans son pays d'un avocat qui le défend et qui aurait déposé une plainte contre sa mise en détention pour plus de 48 heures sans qu'il ait pu se déterminer et sans audience. En outre, comme on l'a vu, il n'explique pas non plus en quoi, le mandat d'arrêt, produit uniquement dans sa dernière écriture du 16 août 2024, bien que daté du 12 juin 2020, ne serait pas une justification a posteriori de son incarcération antérieure, en réaction à la plainte déposée par son avocat. Dans cette hypothèse, une nouvelle incarcération ne serait guère vraisemblable. Rien n'indique ainsi que les conditions d'existence du recourant en cas de renvoi en Guinée-Bissau revêtiraient aujourd'hui un tel degré de pénibilité et de gravité qu'elles seraient constitutives d'un traitement contraire à l'art. 3 CEDH ou encore à l'art. 3 Conv. torture, du seul fait qu'il aurait participé il y a quatre ans à des manifestations du MCCI. Au surplus, le recourant n'invoque pas être en mauvaise santé et rien au dossier ne permet de le penser. On ne saurait ainsi considérer que le renvoi de Suisse du recourant serait illicite ou ne pourrait pas être raisonnablement exigé. Rien n'indique non plus que son renvoi ne serait pas possible au sens de l'art. 83 al. 2 LEI. Dès lors, c'est à bon droit que le SPOP n'a pas proposé au SEM son admission provisoire pour ce motif (art. 83 al. 6 LEI). La décision attaquée doit donc être confirmée aussi dans la mesure où elle prononce le renvoi de Suisse du recourant.</w:t>
      </w:r>
    </w:p>
    <w:p>
      <w:r>
        <w:rPr>
          <w:b/>
        </w:rPr>
        <w:t>E. 6</w:t>
      </w:r>
    </w:p>
    <w:p>
      <w:r>
        <w:t>Le recourant a requis à titre de mesure d'instruction son audition personnelle, requête sur laquelle il y a lieu de statuer. Le droit d'être entendu garanti par les art. 29 al. 2 Cst. et 27 al. 2 Cst-VD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1C_68/2019 du 18 octobre 2019 consid. 2.1; CDAP PE.2019.0034 du 9 décembre 2019 consid. 2a). Dans le cas d’espèce, la CDAP ne voit pas quels éléments déterminants pour l’issue du litige – qui n’auraient pas pu être exposés par écrit – l’audition du recourant serait susceptible d’apporter; la cour considère au contraire que cette audition ne serait pas de nature à modifier la conviction qu’elle s’est forgée sur la base des pièces au dossier. Il sied en outre de relever que le recourant a déjà pu faire valoir son droit d'être entendu devant le SPOP initialement, puis dans le cadre de son opposition, puis enfin dans la présente procédure. Il a transmis plusieurs attestations écrites sur sa situation pénale en Guinée-Bissau. Dans la mesure où la situation du recourant fait l'objet d'une documentation abondante au dossier, il n'y a pas lieu de procéder à son audition dans le cadre de la présente procédure. La réquisition doit ainsi être rejetée.</w:t>
      </w:r>
    </w:p>
    <w:p>
      <w:r>
        <w:rPr>
          <w:b/>
        </w:rPr>
        <w:t>E. 7</w:t>
      </w:r>
    </w:p>
    <w:p>
      <w:r>
        <w:t>Les considérants qui précèdent conduisent au rejet du recours et à la confirmation de la décision attaquée. Le délai imparti au recourant au 8 janvier 2024 étant échu, il appartiendra au SPOP de lui fixer un nouveau délai. Le recourant, qui succombe, supportera les frais judiciaires (art. 49, 91 et 99 LPA ‑ VD). L’émolument judiciaire est arrêté à 600 fr. (art. 4 al. 1 du tarif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