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PE.2024.0039 vom 9. Dezember 2024</w:t>
      </w:r>
    </w:p>
    <w:p>
      <w:r>
        <w:t>VD Tribunal cantonal, 2024-12-09, FR</w:t>
      </w:r>
    </w:p>
    <w:p>
      <w:r>
        <w:rPr>
          <w:b/>
        </w:rPr>
        <w:t xml:space="preserve">Quelle: </w:t>
      </w:r>
      <w:r>
        <w:t>https://mcp.opencaselaw.ch/entscheid/vd_omni_PE.2024.0039</w:t>
      </w:r>
    </w:p>
    <w:p>
      <w:r>
        <w:t>FR: VD_OMNI PE.2024.0039 du 9 décembre 2024</w:t>
      </w:r>
    </w:p>
    <w:p>
      <w:r>
        <w:t>IT: VD_OMNI PE.2024.0039 del 9 dicembre 2024</w:t>
      </w:r>
    </w:p>
    <w:p>
      <w:pPr>
        <w:pStyle w:val="Heading2"/>
      </w:pPr>
      <w:r>
        <w:t>Regeste</w:t>
      </w:r>
    </w:p>
    <w:p>
      <w:r>
        <w:t>A.________/Service de la population (SPOP) | Admission du recours d'une ressortissante kosovare contre le refus du SPOP de délivrer une autorisation de séjour au titre de rentière en sa faveur et le prononcé de son renvoi. Agée de 64 ans, la recourante, qui vit chez l'un de ses fils, présente suffisamment de garanties au regard des attestations signées par ses trois fils figurant au dossier, de sorte que le risque qu'elle vienne à dépendre de l'assistance publique à l'avenir peut pratiquement être exclu. En outre, elle a tissé avec la Suisse des liens socioculturels propres qui vont au-delà du cercle familial. En particulier, elle entretient une relation sentimentale avec un ressortissant suisse depuis près de deux ans. Partant, elle remplit les conditions d'admission d'un étranger sans activité lucrative.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dans le délai légal par le destinataire de la décision attaquée (art. 95 LPA-VD), le recours satisfait de plus aux exigences formelles prévues par la loi (art. 75, 79 et 99 LPA-VD), si bien qu’il y a lieu d’entrer en matière sur le fond.</w:t>
      </w:r>
    </w:p>
    <w:p>
      <w:r>
        <w:rPr>
          <w:b/>
        </w:rPr>
        <w:t>E. 2</w:t>
      </w:r>
    </w:p>
    <w:p>
      <w:r>
        <w:t>a) Les ressortissants étrangers ne bénéficient en principe d'aucun droit à une autorisation de séjour, sauf s'ils peuvent le déduire d'une norme particulière du droit fédéral ou d'un traité international (ATF 130 II 281 consid. 2.1, 493 consid. 3.1; 128 II 145 consid. 1.1.1, et les arrêts cités). b) Ressortissante du Kosovo, la recourante ne peut pas se prévaloir d'un accord entre son pays d'origine et la Suisse, de sorte que sa situation doit être examinée uniquement au regard de la LEI et de ses ordonnances d'application, ainsi qu'en vertu des garanties conférées par la Constitution et le droit international.</w:t>
      </w:r>
    </w:p>
    <w:p>
      <w:r>
        <w:rPr>
          <w:b/>
        </w:rPr>
        <w:t>E. 3</w:t>
      </w:r>
    </w:p>
    <w:p>
      <w:r>
        <w:t>Ils ne sont pas autorisés à exercer une activité lucrative en Suisse ou à l'étranger, à l'exception de la gestion de leur propre fortune.</w:t>
      </w:r>
    </w:p>
    <w:p>
      <w:r>
        <w:rPr>
          <w:b/>
        </w:rPr>
        <w:t>E. 4</w:t>
      </w:r>
    </w:p>
    <w:p>
      <w:r>
        <w:t>Les considérants qui précèdent conduisent à l'admission du recours et à l'annulation de la décision attaquée, le dossier étant renvoyé à l'autorité intimée afin qu'elle soumette pour approbation au Secrétariat d'Etat aux migrations (SEM) l'octroi des autorisations d'entrée, respectivement de séjour en faveur de la recourante (art. 2 let. c de l’ordonnance du DFJP du 13 août 2015 relative aux autorisations et aux décisions préalables dans le domaine du droit des étrangers soumises à la procédure d’approbation [Ordonnance du DFJP concernant l’approbation [OA-DFJP; RS. 142.201.1]; art. 99 al. 1 et 2 LEI]). La recourante est en outre rendue attentive qu'en vertu de l'art. 99 al. 2 LEI, le SEM n’est pas lié par le présent arrêt. Compte tenu de l'issue du litige, le présent arrêt sera rendu sans frais (art. 49 al. 1, 91 et 99 LPA-VD). Obtenant gain de cause avec le concours d'un mandataire professionnel, la recourante a droit à une indemnité à titre de dépens (art. 55 al. 1, 91 et 99 LPA-VD et 11 du tarif des frais judiciaires et des dépens en matière administrative, du 28 avril 2015 [TFJDA; BLV 173.36.5.1]); cette indemnité sera mise à la charge du Département dont dépend l’autorité intimée (cf. art. 5 de l’arrêté sur la composition des départements et les noms des services de l'administration, du 6 juillet 2022 [BLV 172.215.1.1]).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