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PE.2024.0021 vom 24. Juni 2024</w:t>
      </w:r>
    </w:p>
    <w:p>
      <w:r>
        <w:t>VD Tribunal cantonal, 2024-06-24, FR</w:t>
      </w:r>
    </w:p>
    <w:p>
      <w:r>
        <w:rPr>
          <w:b/>
        </w:rPr>
        <w:t xml:space="preserve">Quelle: </w:t>
      </w:r>
      <w:r>
        <w:t>https://mcp.opencaselaw.ch/entscheid/vd_omni_PE.2024.0021</w:t>
      </w:r>
    </w:p>
    <w:p>
      <w:r>
        <w:t>FR: VD_OMNI PE.2024.0021 du 24 juin 2024</w:t>
      </w:r>
    </w:p>
    <w:p>
      <w:r>
        <w:t>IT: VD_OMNI PE.2024.0021 del 24 giugno 2024</w:t>
      </w:r>
    </w:p>
    <w:p>
      <w:pPr>
        <w:pStyle w:val="Heading2"/>
      </w:pPr>
      <w:r>
        <w:t>Regeste</w:t>
      </w:r>
    </w:p>
    <w:p>
      <w:r>
        <w:t>A.________/Service de la population (SPOP) | Refus du SPOP d'octroyer une autorisation de séjour pour cas de rigueur à un ressortissant du Kosovo en Suisse depuis 2008. Recours rejeté: - un séjour ininterrompu en Suisse depuis 2008 n'est pas démontré, seul un séjour depuis 2015 paraît établi. Quoi qu'il en soit, même à supposer que le recourant séjourne en Suisse depuis 2008, cette durée de séjour serait insuffisante à elle seule pour être constitutive d'un cas individuel d'extrême gravité, dans la mesure le séjour est illégal; - son intégration socio-professionnelle n'est pas exceptionnelle; - sa réintégration au Kosovo, où il a vécu toute son enfance et son adolescence jusqu'à l'âge de 26 ans, est exigible. Pas non plus d'atteinte au droit au respect de la vie privée garanti par l'art. 8 CEDH, ni au droit au respect de la dignité humaine garanti par l'art. 7 Cst.</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recourant estime qu'il doit être mis au bénéfice d'une autorisation de séjour pour cas de rigueur. Il soutient remplir toutes les conditions prescrites aux art. 30 al. 1 let. b LEI et 31 de l'ordonnance relative à l'admission, au séjour et à l'exercice d'une activité lucrative (OASA; RS 142.201). Il invoque de plus le droit au respect de la vie privée et le droit au respect de la dignité humaine.</w:t>
      </w:r>
    </w:p>
    <w:p>
      <w:r>
        <w:rPr>
          <w:b/>
        </w:rPr>
        <w:t>E. 3</w:t>
      </w:r>
    </w:p>
    <w:p>
      <w:r>
        <w:t>À titre liminaire, on rappellera que l'octroi éventuel d'une autorisation de séjour en faveur du recourant – qu'elle soit fondée sur l'art. 30 al. 1 LEI ou sur l'art. 8 de la Convention du 4 novembre 1950 de sauvegarde des droits de l'homme et des libertés fondamentales (CEDH; RS 0.101) – serait soumis à l'approbation du Secrétariat d'Etat aux migrations (SEM) en vertu des art. 99 al. 2 LEI et 3 let. f et 5 let. d de l'ordonnance du DFJP (Département fédéral de justice et police) du 13 août 2015 relative aux autorisations et aux décisions préalables dans le domaine du droit des étrangers soumises à la procédure d'approbation (RS 142.201.1).</w:t>
      </w:r>
    </w:p>
    <w:p>
      <w:r>
        <w:rPr>
          <w:b/>
        </w:rPr>
        <w:t>E. 4</w:t>
      </w:r>
    </w:p>
    <w:p>
      <w:r>
        <w:t>La LEI s’applique aux étrangers dans la mesure où leur statut juridique n’est pas réglé par d’autres dispositions du droit fédéral ou par des traités internationaux conclus par la Suisse (art. 2 al. 1 LEI). Ressortissant du Kosovo, le recourant ne peut pas se prévaloir d’un accord d’établissement entre son pays d’origine et la Suisse, si bien qu’il convient d’examiner le recours au regard de la LEI et de ses ordonnances d’application.</w:t>
      </w:r>
    </w:p>
    <w:p>
      <w:r>
        <w:rPr>
          <w:b/>
        </w:rPr>
        <w:t>E. 5</w:t>
      </w:r>
    </w:p>
    <w:p>
      <w:r>
        <w:t>a) aa) Aux termes de l'art. 30 al. 1 let. b LEI, il est possible de déroger aux conditions d’admission (art. 18 à 29) dans le but notamment de tenir compte des cas individuels d'une extrême gravité ou d'intérêts publics majeurs.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critères d'intégration définis à l'art. 58a al. 1 LEI sont le respect de la sécurité et de l’ordre publics, le respect des valeurs de la Constitution, les compétences linguistiques et la participation à la vie économique ou l’acquisition d’une formation. bb)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PE.2023.0044 du 17 mai 2023 consid. 4a; PE.2023.0003 du 5 mai 2023 consid. 5b).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CDAP PE.2018.0361 consid. 4c, PE.2018.0373 du 31 janvier 2019 consid. 2a et les références). S'agissant spécifiquement de la durée du séjour en Suisse, la jurisprudence a précisé que la durée d'un séjour précaire ou illégal n'était pas prise en compte dans l'examen d'un cas de rigueur - ou alors seulement dans une mesure moindre -, sans quoi l'obstination à violer la législation en vigueur serait en quelque sorte récompensée (cf. ATF 137 II 1 consid. 4.3, 134 II 10 consid. 4.3, 130 II 39 consid. 3; arrêts CDAP PE.2018.0361 précité, consid. 4c, PE.2018.0373 précité, consid. 2a et les références). Enfin, compte tenu de la formulation potestative des art. 30 al. 1 let. b LEI et 31 OASA, l'autorité dispose d'un important pouvoir d'appréciation dans l'octroi d'une autorisation de séjour pour cas individuel d'extrême gravité. b) Selon l'art. 8 par. 1 CEDH , toute personne a droit au respect de sa vie privée et familiale. Dans l'ATF 144 I 266 du 8 mai 2018, le Tribunal fédéral a précisé et structuré sa jurisprudence relative au droit au respect de la vie privée: c 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 cf. ég. TF 2C_338/2019 du 28 novembre 2019 consid. 5.3.1). En l'espèce, le recourant ne peut pas invoquer l'art. 8 par. 1 CEDH, dans la mesure où il a toujours vécu sans autorisation en Suisse, respectivement au bénéfice d'une tolérance des autorités depuis le dépôt d'une demande d'autorisation de séjour. La légalité du séjour est en effet un élément déterminant s'agissant d'apprécier la portée de la protection de la vie privée en application de la jurisprudence citée ci-dessus. Comme le Tribunal fédéral l'a rappelé (arrêt TF 2C_302/2019 du 1 er avril 2019 consid. 4), un étranger ne peut invoquer sa bonne intégration, si celle-ci a été acquise en marge de la légalité; cela reviendrait sinon à admettre contre tout bon sens que l'addition d'années de séjour illégal équivaut au droit d'obtenir une autorisation de séjour fondée sur l'art. 8 CEDH et par conséquent à récompenser en dernier ressort une attitude contraire au droit. c) Aux termes de l'art. 7 de la Constitution fédérale de la Confédération suisse du 18 avril 1999 (Cst.; RS 101), la dignité humaine doit être respectée et protégée. Dans son recours, le recourant se contente de formuler des considérations générales en lien avec cette disposition, sans exposer précisément les motifs pour lesquels il estime que la décision attaquée ne respecterait pas la dignité humaine. A défaut de tels motifs, on peut sérieusement douter que ce grief soit recevable (cf. art. 79 al. 1 LPA-VD, applicable par renvoi de l'art. 99 LPA-VD). Quoi qu'il en soit, la question de savoir si l'art.</w:t>
      </w:r>
    </w:p>
    <w:p>
      <w:r>
        <w:rPr>
          <w:b/>
        </w:rPr>
        <w:t>E. 7</w:t>
      </w:r>
    </w:p>
    <w:p>
      <w:r>
        <w:t>Le recours doit donc être rejeté et la décision attaquée confirmée. Le délai de départ imparti par la décision attaquée étant échu, un délai d'un mois dès la notification de l'arrêt est imparti au recourant pour quitter la Suisse. Vu le sort de la cause, les frais de justice, arrêtés à 600 francs, sont mis à la charge du recourant (cf. art 49 al. 1 LPA-VD; art. 1 et 4 al. 1 du tarif vaudois du 28 avril 2015 des frais judiciaires et des dépens en matière administrative [TFJDA; BLV 173.36.5.1]). Il n'y a pas lieu à l'allocation de dépens (cf.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