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PE.2023.0168 vom 29. April 2024</w:t>
      </w:r>
    </w:p>
    <w:p>
      <w:r>
        <w:t>VD Tribunal cantonal, 2024-04-29, FR</w:t>
      </w:r>
    </w:p>
    <w:p>
      <w:r>
        <w:rPr>
          <w:b/>
        </w:rPr>
        <w:t xml:space="preserve">Quelle: </w:t>
      </w:r>
      <w:r>
        <w:t>https://mcp.opencaselaw.ch/entscheid/vd_omni_PE.2023.0168</w:t>
      </w:r>
    </w:p>
    <w:p>
      <w:r>
        <w:t>FR: VD_OMNI PE.2023.0168 du 29 avril 2024</w:t>
      </w:r>
    </w:p>
    <w:p>
      <w:r>
        <w:t>IT: VD_OMNI PE.2023.0168 del 29 aprile 2024</w:t>
      </w:r>
    </w:p>
    <w:p>
      <w:pPr>
        <w:pStyle w:val="Heading2"/>
      </w:pPr>
      <w:r>
        <w:t>Regeste</w:t>
      </w:r>
    </w:p>
    <w:p>
      <w:r>
        <w:t>A.________/Direction générale de l'emploi et du marché du travail (DGEM), B.________ | Confirmation du refus de délivrer une autorisation de travail en faveur d'une ressortissante algérienne, engagée par une société de conseils pour développer un call center en Algérie. La nature du contrat passé entre l'employeur et l'employée prête à discussion; en admettant qu'il s'agisse d'un contrat de travail, la rémunération de l'intéressée consiste uniquement en un commissionnement, ce qui ne répond pas aux conditions de rémunération usuelles. A moins de retenir que la mise sur pied de ce centre d’appel se fera exclusivement depuis la Suisse, le dossier ne fait pas apparaître que l’activité de l’intéressée s’exercera sur le marché suisse du travail. L'employeur n'a pas respecté l'ordre de priorité, puisqu'il n'a pas effectué de recherche de candidats pour le poste concerné sur le marché local du travail; or, il n'est pas à la recherche d'un cadre ou d'un spécialiste, puisqu’aucun pouvoir décisionnel n’est conféré au titulaire du poste, qui se borne en l’espèce à représenter son employeur. Rejet du recours.</w:t>
      </w:r>
    </w:p>
    <w:p>
      <w:pPr>
        <w:pStyle w:val="Heading2"/>
      </w:pPr>
      <w:r>
        <w:t>Erwägungen</w:t>
      </w:r>
    </w:p>
    <w:p>
      <w:r>
        <w:rPr>
          <w:b/>
        </w:rPr>
        <w:t>E. 1</w:t>
      </w:r>
    </w:p>
    <w:p>
      <w:r>
        <w:t>a) A teneur de l’art. 85 de la loi cantonale du 5 juillet 2005 sur l'emploi (LEmp; RSV 822.11), la loi sur la procédure administrative est applicable aux décisions rendues en application, notamment, de la loi fédérale du 16 décembre 2005 sur les étrangers et l’intégration (LEI; RS 142.20), ainsi qu'aux recours contre lesdites décisions. Aux termes de l’art. 92 al. 1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b) Interjeté en temps utile, le recours, intitulé "recours gracieux", formé le 13 novembre 2023 auprès de l’autorité intimée et transmis par celle-ci le 21 novembre 2023 à l’autorité judiciaire compétente (cf. art. 7 LPA-VD), satisfait aux autres conditions formelles de recevabilité (cf. art. 79 LPA-VD applicable par renvoi de l'art. 99 LPA-VD), de sorte qu'il y a lieu d'entrer en matière sur le fond.</w:t>
      </w:r>
    </w:p>
    <w:p>
      <w:r>
        <w:rPr>
          <w:b/>
        </w:rPr>
        <w:t>E. 2</w:t>
      </w:r>
    </w:p>
    <w:p>
      <w:r>
        <w:t>La recourante a indiqué se tenir à disposition pour comparaître en audience, dont B.________, tiers intéressé, a, pour sa part, requis la tenue. a)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 'être entendu oralement.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b) En l’occurrence, le litige a trait au refus de l’autorité intimée de délivrer une autorisation de travail en faveur de B.________, afin que la recourante puisse l’engager en qualité de conseiller financier. Or, le dossier de la cause est complet et la recourante, outre l’acte de recours, s’est encore exprimée par écrit à deux reprises. Quant à B.________, elle ne s’est pas exprimée sur la décision attaquée, bien qu’appelée dès le début de la procédure en qualité de tiers intéressé; en outre, elle n’a pas motivé sa requête tendant à la convocation d’une audience. Quoi qu’il en soit, les questions à résoudre sont pour l’essentiel d’ordre juridique, comme on le verra ci-dessous, et le Tribunal les examine avec un plein pouvoir d’examen. Le Tribunal dispose de tous les éléments lui permettant de s’assurer que l’autorité intimée n’a pas abusé du pouvoir d’appréciation qui lui est reconnu en la présente matière ou d’accueillir, à l’inverse, les griefs de la recourante. c) Par conséquent, il ne s’impose pas, par appréciation anticipée des preuves, de tenir une audience.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b) En l’occurrence, le litige porte sur la question de savoir si c'est à bon droit que l'autorité intimée a refusé d'accorder une autorisation préalable de travail en faveur de B.________. Cette dernière est ressortissante d’un Etat avec lequel la Suisse n’est liée par aucune convention, de sorte que cette question doit être résolue au regard du droit interne exclusivement, soit la LEI et ses ordonnances d’application.</w:t>
      </w:r>
    </w:p>
    <w:p>
      <w:r>
        <w:rPr>
          <w:b/>
        </w:rPr>
        <w:t>E. 4</w:t>
      </w:r>
    </w:p>
    <w:p>
      <w:r>
        <w:t>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Secrétariat d’Etat aux migrations [SEM], Directives et commentaires, I. Domaine des étrangers [Directives LEI], Chapitre 4 Séjour avec activité lucrative, état au 1 er octobre 2023,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à la DGEM, autorité du marché du travail, vu l’art. 64 al. 1 let. a LEmp. b)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 intérêts économiques du pays"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4 e éd., Zurich 2020, p. 202; Peter Uebersax, in :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On peut supposer que le potentiel offert par la main-d’œuvre présente en Suisse a été épuisé dans les genres de professions touchés par une forte pénurie structurelle de main-d’œuvre qualifiée (Directives LEI, ch. 4.3.2.2.1). Le principe de la priorité des travailleurs résidents doit être appliqué à tous les cas, quelle que soit la situation de l'économie et du marché du travail (arrêts du Tribunal administratif fédéral C-5912/2011 du 25 août 2015 consid. 8.3; C-4989/2011 du 23 janvier 2013 consid. 4.3.1; C-8717/2010 du 8 juillet 2011 consid. 6.3). En dérogation à l’al. 1,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(art. 21 al. 3 LEI). Concernant les efforts de recherche de l’employeur dans le cadre de l’art. 21 LEI, les Directives LEI prévoient en particulier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6.7, C-679/2011 du 27 mars 2012, consid. 7.2, C-4873/2011 du 13 août 2013, consid. 5.3 et C- 106/2013 du 23 juillet 2014, consid. 6 et 7.1)" (ch. 4.3.3, références citées). En effet,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Si le poste n’a pas été annoncé, l’autorité cantonale compétente en matière de marché du travail rejette la demande dans le cadre de la procédure d’autorisation sur la base de l’art. 21a LEI (Directives LEI, ch. 4.3.3). D'après la jurisprudence constante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arrêts PE.2020.0168 du 5 janvier 2021 consid. 3d; PE.2020.0105 du 19 septembre 2020 consid. 3d; PE.2014.0006 du 1 er juillet 2014; PE.2006.0405 du 19 octobre 2006 et les arrêts cités). Les efforts de recrutement ne peuvent par ailleurs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PE.2020.0233 du 12 août 2021 consid. 2a; PE.2015.0253 du 31 août 2015 consid. 1a; PE.2014.0230 du 24 avril 2015 consid. 2a; PE.2014.0483 du 14 avril 2015 consid. 2c). cc) Aux termes de l’art. 22 al. 1 LEI, un étranger ne peut être admis en vue de l'exercice d'une activité lucrative que si les conditions de rémunération et de travail usuelles du lieu, de la profession et de la branche sont respectées (let. a) et que les montants des remboursements visés à l’al. 2 sont usuels dans le lieu, la profession et la branche (let. b). L’al. 2 impose à l’employeur de rembourser au travailleur détaché les dépenses liées au détachement dans le cadre d’une prestation de services transfrontalière ou d’un transfert interentreprises, telles que les dépenses de voyage, de logement et de nourriture. Les montants versés à ce titre ne sont pas considérés comme faisant partie du salaire. Cette disposition a pour but de protéger les travailleurs étrangers contre des conditions d’engagement abusives, mais également d’éviter pour les travailleurs indigènes la concurrence d’une main-d’œuvre meilleur marché. Lors de l’appréciation du salaire, seuls les éléments du salaire convenus par contrat peuvent, en principe, être pris en compte. Les participations des collaborateurs, courantes chez les entrepreneurs et les start-up et réglementées dans des plans de participation des collaborateurs, peuvent être prises en compte dans le salaire, à condition que le collaborateur concerné dispose des moyens financiers directs nécessaires pour subvenir à ses besoins. Les participations doivent donc être au moins en proportion raisonnable avec le salaire de base (v. Directives LEI, ch. 4.3.4). dd)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LEI (Marc Spescha, in : Migrationsrecht, Kommentar, 5 e éd., Spescha/Zünd/Bolzli/Hruschka/de Weck [ édit. ] , Zurich 2019, p. 131 ch. 1 ad art. 23 LEI). Il n'en demeure pas moins que le statut de courte durée, comme celui du séjour durable, reste réservé à la main-d'œuvre très qualifiée et qu'il est nécessaire que le travailleur en question ait les connaissances spéciales et les qualifications requises (Message, in : FF 2002 p. 3540). C'est ainsi que l'admission sera, en principe, refusée pour des postes ne requérant aucune formation particulière (cf. TAF C-5184/2014 du 31 mars 2016 consid. 5.4.1). ee) L'art. 18 LEI étant rédigé en la forme potestative, les autorités compétentes bénéficient d'un large pouvoir d'appréciation en la matière (cf. Lisa Ott, in: Bundesgesetz über die Ausländerinnen und Ausländer, Caroni/Gächter/Thurnher [édit.] Berne 2010, pp. 149/150 ch. 5, ad art. 18-29 LEtr; cf. dans le même sens, Marc Spescha, op. cit., ch. 2, ad Vorbemerkungen zu Art. 18-26 LEI).</w:t>
      </w:r>
    </w:p>
    <w:p>
      <w:r>
        <w:rPr>
          <w:b/>
        </w:rPr>
        <w:t>E. 5</w:t>
      </w:r>
    </w:p>
    <w:p>
      <w:r>
        <w:t>En la présente espèce, les considérations suivantes doivent, à la lumière de ce qui précède, être opposées à la demande et conduisent à la confirmation de la décision attaquée. a) A titre préliminaire, on rappelle que l’autorisation dont il est question à l’art. 18 LEI a trait à l’exercice d’une activité salariée dans le cadre d’un contrat de travail. Le contrat de travail au sens des art. 319s. CO se définit comme un contrat synallagmatique parfait par lequel le travailleur s’engage, pour une durée déterminée ou indéterminée, à travailler au service de l’employeur, dans un rapport de subordination, moyennant rémunération (Rémy Wyler/Boris Heinzer, Droit du travail, 4 e éd., Berne 2019, p. 22s. ). Or, la nature du contrat du 2 août 2023 qui la lie avec B.________, que la recourante a joint à sa demande et qui fait partie de l’objet de celle-ci est, à tout le moins ambiguë. Intitulé "contrat d’agence " , ce contrat confie à l’intéressée la tâche principale de "négocier des contrats avec des tiers, pour le compte du mandant" (art. 2); il prévoit une rémunération exclusivement à la commission (art. 5) et laisse l'agent libre de s’organiser dans l'exercice de son activité et l’exécution de ses tâches, dans son intérêt et celui du mandant, sans aucun contrôle des jours de congés (art. 10). Selon la définition de l’art. 418a al. 1 CO, l'agent est celui qui prend à titre permanent l'engagement de négocier la conclusion d'affaires pour un ou plusieurs mandants ou d'en conclure en leur nom et pour leur compte, sans être lié envers eux par un contrat de travail (art. 418a al. 1 CO). Ceci étant, ce contrat contient d’autres clauses qui, elles, sont plutôt caractéristiques d’un rapport de travail; ainsi, l’agent doit respecter les instructions qui lui sont données par le mandant et exerce sa mission avec diligence et fidélité (art. 4), ce qui fait apparaître un rapport de subordination entre les parties; en outre, la rémunération en cas d'incapacité de travail de l’agent est prévue (art. 6), de même que la soumission de la rémunération aux cotisations aux assurances sociales (art. 7), ainsi que la prohibition de concurrence (art. 9). On ne retiendra pas en revanche les termes du second contrat, du 13 novembre 2023, intitulé contrat de travail, celui-ci ayant été conclu par les parties postérieurement à la décision attaquée, de sorte que l’autorité intimée en ignorait la teneur au moment de statuer. Dans la mesure où il n’y a pas lieu de s’arrêter aux expressions ou dénominations inexactes dont les parties ont pu se servir, soit par erreur, soit pour déguiser la nature véritable de la convention (cf. art. 18 al. 1 CO), on admettra cependant, au vu de ce qui précède, que la recourante et B.________ ont entendu se lier par un contrat de travail, que l’activité de cette dernière est salariée et qu’il appartenait effectivement à la recourante, en sa qualité d’employeur, de saisir l’autorité compétente du marché du travail, vu l’art. 18 let. b LEI (v. sur cette question et ses conséquences, arrêt PE.2020.0103 du 17 novembre 2020). Or, ce contrat prévoit, à son art. 5, que la rémunération de B.________ consiste uniquement en un commissionnement, ce qui est incompatible avec l’art. 22 al. 1 let. a LEI, ce qui constitue un premier motif de rejet du recours. b) Aux termes du contrat du 2 août 2023, joint à la demande et qui fait partie de l’objet de celle-ci, et de la lettre de motivation, également jointe à la demande, le poste confié à B.________ va consister à négocier des contrats avec des tiers pour le compte de la recourante et "Développer un call center en Algérie pour le démarchage de la clientèle dans les pays francophones ". Il est douteux que cette activité lucrative entre dans le champ d’application des art. 11 al. 2 LEI et 1a OASA. Comme le rappelle le SEM, la question consiste à savoir si l’activité de l’étranger sur le marché suisse du travail est en principe exercée contre rétribution (Directives LEI, ch. 4.1.1). Or, en l’espèce, à moins de retenir que la mise sur pied de ce centre d’appel en Algérie se fera exclusivement depuis la Suisse,  ce qui suscite certains doutes, le dossier ne fait pas apparaître que l’activité de l’intéressée s’exercera sur le marché suisse du travail. A supposer toutefois que tel soit le cas, la décision attaquée ne procède, quoi qu’il en soit, d’aucun abus par l’autorité intimée de son pouvoir d’appréciation, comme on va le voir. c) Le contrat liant la recourante à B.________ a pris effet au 2 août 2023, alors que l’autorité intimée a été saisie le 31 août 2023. Il ressort en outre des explications de la recourante que cette dernière a pris un appartement à ********, où elle réside au demeurant. La recourante se prévaut par ailleurs de la bonne intégration de l’intéressée dans la vie sociale suisse et lausannoise en particulier. Or, l’art. 17 al. 1 LEI exige de l’étranger entré légalement en Suisse pour un séjour temporaire qui dépose ultérieurement une demande d’autorisation de séjour durable d’attendre la décision à l’étranger. Il est dispensé de cette obligation seulement si l’autorité cantonale compétente l’a autorisé à séjourner en Suisse durant la procédure si les conditions d’admission sont manifestement remplies (cf. art. 17 al. 2 LEI). Ceci nonobstant, il ne ressort nullement du dossier qu’une autorisation de séjour aurait été délivrée à B.________. Ce motif entraîne lui aussi le rejet du recours. d) Il ne ressort pas du dossier de la cause que la recourante ait effectué une quelconque recherche de candidats pour le poste concerné sur le marché local du travail. La recourante a sans doute expliqué à l’appui de sa demande qu’elle avait cherché depuis plusieurs années à pourvoir ce poste, sans toutefois trouver de candidatures. Interpellée sur ce point par l’autorité intimée, elle a cependant admis dans son courriel du 21 octobre 2023 qu’elle n’avait fait aucune recherche, ajoutant que le profil de B.________ correspondait " par chance " au poste. La recourante fait valoir sur ce point qu’aucun profil indigène ou de l’UE/AELE ne serait susceptible d’occuper le poste en question, soit un conseiller financier dont la tâche principale serait, selon le contrat joint à la demande, "négocier des contrats avec des tiers, pour le compte du mandant" . Elle explique qu’un profil du pays cible, à savoir l’Algérie, constituerait la seule opportunité pour elle à cet égard. Cette explication ne peut être retenue. Contrairement à ses explications, l a recourante n’est pas à la recherche d’un cadre ou d’un spécialiste au sens où l’entend l’art. 23 al. 1 LEI. Certes, l’intéressée est titulaire de diplômes universitaires qui lui ont été délivrés dans son pays; en outre, elle peut mettre en avant une expérience professionnelle de six ans, dont les trois dernières années chez Nestlé Algérie en qualité de "Spécialiste Financier (Finance et Comptabilité clients et Fournisseurs)/Gestion des comptes clients " . Cependant, si l’on s’en tient aux termes du contrat du 2 août 2023 joint à la demande et qui fait partie de l’objet de celle-ci et surtout à la lettre de motivation, également jointe à la demande, il n’apparaît pas que le poste de B.________ fasse partie du champ d’application de l’art. 23 al. 1 LEI. La recourante indique en effet, dans ce dernier document, que le cahier des charges consiste à "Développer un call center en Algérie pour le démarchage de la clientèle dans les pays francophones " . Comme l’autorité intimée le relève dans ses écritures, ce poste n’est guère en adéquation avec la formation universitaire de B.________. Quoi qu’il en soit, il ressort de l’art. 2 du contrat qu’aucun pouvoir décisionnel n’est conféré au titulaire du poste qui se borne en l’espèce à représenter la recourante; il ne s’agit donc pas pour cette dernière d’engager un cadre. De même, il est douteux, au vu de son parcours professionnel qui ne correspond guère aux exigences du poste, que B.________ puisse être considérée comme une spécialiste. Du reste, il ressort de la lettre de motivation précitée que c’est essentiellement la nationalité algérienne de l’intéressée qui a retenu l’attention de la recourante. En outre, le poste en question ne vise pas un candidat au sein d’une profession particulièrement touchée par une pénurie de main-d’œuvre qualifiée; la recourante ne le soutient du reste pas. Aussi, il serait étonnant que la recourante ne trouve pas, soit sur le "marché local" du travail, soit au sein des Etats de l’UE/AELE, un candidat binational, détenteur également de la nationalité algérienne par exemple, suffisamment expérimenté et correspondant à un tel profil, susceptible de répondre à ses attentes, voire un candidat moins expérimenté mais qu’elle puisse former. Pour ce motif également, faute de respect de l’ordre de priorité par la recourante, son recours sera rejeté. En effet, c’est seulement postérieurement à la décision attaquée que la recourante a entrepris des démarches auprès de l’Office régional de placement, dont on ignore le résultat. Ces démarches tardives paraissent dès lors avoir été entreprises à la seule fin pour la recourante de s’acquitter de l’exigence résultant de l’art. 21 al. 1 LEI. Le cas échéant, il lui appartiendra de saisir l’autorité compétente d’une nouvelle demande.</w:t>
      </w:r>
    </w:p>
    <w:p>
      <w:r>
        <w:rPr>
          <w:b/>
        </w:rPr>
        <w:t>E. 6</w:t>
      </w:r>
    </w:p>
    <w:p>
      <w:r>
        <w:t>Au vu des considérants qui précèdent, le recours doit être rejeté et la décision entreprise, confirmée. Les frais de justice sont mis à la charge de la recourante, qui succombe (art. 49 al. 1 LPA-VD). L'allocation de dépens n'entre pas en ligne de compte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