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PE.2023.0161 vom 24. April 2024</w:t>
      </w:r>
    </w:p>
    <w:p>
      <w:r>
        <w:t>VD Tribunal cantonal, 2024-04-24, FR</w:t>
      </w:r>
    </w:p>
    <w:p>
      <w:r>
        <w:rPr>
          <w:b/>
        </w:rPr>
        <w:t xml:space="preserve">Quelle: </w:t>
      </w:r>
      <w:r>
        <w:t>https://mcp.opencaselaw.ch/entscheid/vd_omni_PE.2023.0161</w:t>
      </w:r>
    </w:p>
    <w:p>
      <w:r>
        <w:t>FR: VD_OMNI PE.2023.0161 du 24 avril 2024</w:t>
      </w:r>
    </w:p>
    <w:p>
      <w:r>
        <w:t>IT: VD_OMNI PE.2023.0161 del 24 aprile 2024</w:t>
      </w:r>
    </w:p>
    <w:p>
      <w:pPr>
        <w:pStyle w:val="Heading2"/>
      </w:pPr>
      <w:r>
        <w:t>Regeste</w:t>
      </w:r>
    </w:p>
    <w:p>
      <w:r>
        <w:t>A.________/Service de la population (SPOP) | Recours contre le refus de délivrer une autorisation de séjour en vue de mariage au fiancé étranger d'une Suissesse, en raison de son comportement délictueux. De janvier 2017 à janvier 2019, l'intéressé a commis des infractions à la LFStup et de séjour illégal ayant entraîné six condamnations. Si, pris isolément, les actes reprochés au recourant ne suffisent a priori pas à justifier le refus de lui octroyer une autorisation de séjour, le critère de la gravité qualifiée de l'atteinte à la sécurité et à l'ordre publics au sens de l'art. 63 al. 1 let. b LEI est réalisé par leur répétition. L'intérêt public à ne pas accepter la présence du recourant en Suisse l'emporte sur l'intérêt privé de celui-ci à y demeurer. Rejet du recours. Recours au TF rejeté (2C_269/2024 du 14 novembre 2024).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d'octroyer au recourant une autorisation de séjour temporaire en vue de son mariage avec une citoyenne suisse. a) Selon l'art. 98 al. 4 du Code civil suisse du 10 décembre 1907 (CC; RS 210), les fiancés qui ne sont pas citoyens suisses doivent établir la légalité de leur séjour en Suisse au cours de la procédure préparatoire du mariage.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de la Constitution fédérale de la Confédération suisse du 18 avril 1999 (Cst.; RS 101) et 12 de la Convention du</w:t>
      </w:r>
    </w:p>
    <w:p>
      <w:r>
        <w:rPr>
          <w:b/>
        </w:rPr>
        <w:t>E. 4</w:t>
      </w:r>
    </w:p>
    <w:p>
      <w:r>
        <w:t>Un émolument judiciaire doit être mis à la charge du recourant, qui succombe (art. 49 al. 1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