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PE.2023.0141 vom 21. März 2024</w:t>
      </w:r>
    </w:p>
    <w:p>
      <w:r>
        <w:t>VD Tribunal cantonal, 2024-03-21, FR</w:t>
      </w:r>
    </w:p>
    <w:p>
      <w:r>
        <w:rPr>
          <w:b/>
        </w:rPr>
        <w:t xml:space="preserve">Quelle: </w:t>
      </w:r>
      <w:r>
        <w:t>https://mcp.opencaselaw.ch/entscheid/vd_omni_PE.2023.0141</w:t>
      </w:r>
    </w:p>
    <w:p>
      <w:r>
        <w:t>FR: VD_OMNI PE.2023.0141 du 21 mars 2024</w:t>
      </w:r>
    </w:p>
    <w:p>
      <w:r>
        <w:t>IT: VD_OMNI PE.2023.0141 del 21 marzo 2024</w:t>
      </w:r>
    </w:p>
    <w:p>
      <w:pPr>
        <w:pStyle w:val="Heading2"/>
      </w:pPr>
      <w:r>
        <w:t>Regeste</w:t>
      </w:r>
    </w:p>
    <w:p>
      <w:r>
        <w:t>A.________/Service de la population (SPOP) | Recours contre une décision révoquant l'autorisation de séjour en Suisse d'un ressortissant équatorien et prononçant son renvoi suite à sa séparation d'avec son épouse, ressortissante UE/AELE. Dès lors que la vie commune en Suisse a duré moins de trois ans, la poursuite du séjour en Suisse du recourant doit se justifier pour des raisons personnelles majeures au sens de l'art. 50 al. 1 let. b LEI et de l'art. 77 al.1 let. b OASA. Le recourant dont certains enfants vivent encore en Equateur, a vécu dans ce pays de nombreuses années. Le fait qu'il ne puisse pas résister à la consommation de drogue en cas de retour en Equateur ne saurait constituer un motif médical pouvant constituer une raison personnelle majeur. S'agissant de la situation sécuritaire en Equateur, il y a lieu d'admettre qu'elle s'est dégradée depuis janvier 2024. Cela étant, Le recourant ne démontre pas que cette évolution défavorable de la situation sécuritaire le mettrait personnellement et directement en danger, à tout le moins d'une manière particulièrement plus forte que la moyenne de ses compatriotes exposés à la même situation. Rejet du recours Recours au TF rejeté (TF 2C_223/2024)</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recourant offre de prouver son intégration en Suisse par son audition. Implicitement, il requiert la tenue d’une audience.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 yens de preuve suivants: audition des parties (let. a); inspection locale (let. b); expertises (let. c); documents, titres et rapports officiels (let. d); renseignements fournis par les parties, des autorités ou des tiers (let. e); témoignages (let .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ni celui d 'obtenir l' 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En l’occurrence, il y a lieu d'admettre que le dossier de la cause est complet et que le recourant a eu la possibilité de s’exprimer par écrit. Les questions à résoudre sont pour l’essentiel d’ordre juridique et le Tribunal les examine avec un plein pouvoir d’examen. De surcroît, comme on le verra plus loin, bien plus que l'intégration du recourant en Suisse, il importe plutôt de s'assurer que sa réintégration dans son pays d'origine ne soit pas fortement compromise. Par conséquent, il n’y a pas lieu, par appréciation anticipée des preuves, de donner suite à la réquisition du recourant.</w:t>
      </w:r>
    </w:p>
    <w:p>
      <w:r>
        <w:rPr>
          <w:b/>
        </w:rPr>
        <w:t>E. 3</w:t>
      </w:r>
    </w:p>
    <w:p>
      <w:r>
        <w:t>Sur le plan matériel, le litige porte sur la non-prolongation par l'autorité intimée de l'autorisation de séjour délivrée au recourant, à la suite de sa séparation d'avec son épouse. a) La LEI n'est applicable aux membres de la famille des ressortissants des Etats membres de l’Union Européenne (UE) que dans la mesure où l'Accord du 21 juin 1999 entre, d'une part, la Confédération suisse, et, d'autre part, la Communauté européenne (désormais l’UE) et ses Etats membres sur la libre circulation des personnes (ALCP; RS 0.142.112.681) n'en dispose pas autrement ou lorsque ladite loi prévoit des dispositions plus favorables (art. 2 al. 2 LEI). En droit communautaire, le conjoint d'une personne ressortissant d'une partie contractante ayant un droit de séjour a le droit de s'installer avec elle (art. 7 let. d ALCP et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(cf. ATF 144 II 1 consid. 3.1, traduit et résumé in RDAF 2019 I, p. 528; TF 2C_20/2019 du 13 mai 2019 consid. 5.1; CDAP PE.2022.0045 du 17 novembre 2022 consid. 3a et les références citées).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droit interne, l'art. 44 al. 1 LEI prévoit que le conjoint étranger du titulaire d’une autorisation de séjour peut obtenir une autorisation de séjour et la prolongation de celle-ci à la condition, notamment, qu'il vive en ménage commun avec lui (let. a). c) En l’espèce, le recourant a admis être séparé de son épouse depuis le mois d'octobre 2019, séparation qui a ensuite fait l’objet de mesures protectrices de l’union conjugale. Il ne soutient pas qu’il existerait un espoir de reprise de la vie commune, ayant lui-même déclaré qu'il était prêt à divorcer. Dans ces conditions, le mariage n’existe plus que formellement et le recourant ne saurait se fonder sur ce lien conjugal, vidé de toute substance, pour bénéficier des dispositions de l’ALCP, ce qu’il ne fait d’ailleurs pas, à juste titre.</w:t>
      </w:r>
    </w:p>
    <w:p>
      <w:r>
        <w:rPr>
          <w:b/>
        </w:rPr>
        <w:t>E. 4</w:t>
      </w:r>
    </w:p>
    <w:p>
      <w:r>
        <w:t>a) Aux termes de l'art. 50 al. 1 let. a LEI, 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Selon l'art. 77 al. 1 de l'ordonnance fédérale du 24 octobre 2007 relative à l'admission, au séjour et à l'exercice d'une activité lucrative (OASA; RS 142.201), l'autorisation de séjour octroyée au conjoint et aux enfants au titre de regroupement familial selon l'art. 44 LEI peut être prolongée après la dissolution du mariage ou de la famille si la communauté conjugale existe depuis au moins trois ans et que les critères d’intégration définis à l’art. 58a al. 1 LEI sont remplis (let. a), ou si la poursuite du séjour en Suisse s’impose pour des raisons personnelles majeures (let. b).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(al. 2). L'art. 77 OASA se distingue de l'art. 50 al. 1 LEI en ce qu'il ne consacre pas un droit à l'octroi ou au renouvellement de l'autorisation, mais offre à l'autorité cantonale un certain pouvoir d'appréciation (Martina Caroni, in Bundesgesetz über die Ausländerinnen und Ausländer, Berne 2010, n° 7 ad art. 50, p. 473). Les motifs de l'art. 77 OASA doivent en revanche être interprétés de manière identique à ceux de l'art. 50 al. 1 LEI (CDAP PE.2019.0137 du 10 mai 2019 consid. 4a, PE.2017.0284 du 27 avril 2018 consid. 3a et les références citées; ég. Directives du Secrétariat d'Etat aux migrations [SEM], I. Domaine des étrangers, dans sa version actualisée du 1 er septembre 2023, ch. 6.15). Cela étant,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(ATF 144 II 1 consid. 4.7 p. 10 s., traduit et résumé in RDAF 2019 I, p. 528). Les art. 50 al. 1 let. b et al. 2 LEI et 77 al. 1 let. b et al. 2 OASA visent à régler les situations qui échappent aux dispositions des art. 50 al. 1 let. a LEI et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Aux termes des dispositions précitées, les raisons personnelles majeures sont notamment données lorsque la réintégration sociale dans le pays de provenance semble fortement compromise. Cette situation s’apparente en quelque sorte au cas de rigueur selon l’art. 30 al. 1 let. b LEI (CDAP PE.2020.0150 du 12 octobre 2020 consid. 4a/bb et la réf. citée).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Le simple fait que l'étranger doive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TF 2C_1125/2018 du 7 janvier 2019 consid. 6.2; CDAP PE.2019.0004 du 8 avril 2020 consid. 5d et les références citées).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précité consid. 4.1).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b) aa) Le SPOP a relevé que la vie commune en Suisse du recourant et son épouse avait duré de mars à octobre 2019, soit très largement moins de trois ans et que la poursuite de son séjour en Suisse ne se justifiait pas pour des raisons personnelles majeures. En particulier, l'intégration professionnelle, sociale et son autonomie financière ne suffisaient pas à constituer de telles raisons. En outre, sa réintégration en Equateur ne semblait pas fortement compromise. Dans son recours, le recourant ne paraît plus soutenir que la vie commune avec son épouse en Suisse aurait duré au moins trois ans. Il se contente de relever que la séparation civile du couple est intervenue le 15 février 2022, eu égard à la convention de mesures protectrices de l'union conjugale du 30 novembre 2022. bb) En l'occurrence, il y a lieu d'admettre que le recourant vit séparé de son épouse depuis le mois d'octobre 2019 compte tenu des déclarations concordantes effectuées par son épouse et lui-même devant le SPOP. Ces derniers ont admis qu'ils s'étaient séparés lors du départ de l'épouse du recourant en Equateur. Durant ce séjour, le recourant a d'ailleurs reconnu qu'il avait commencé une relation amoureuse avec une autre compagne. A aucun moment, les époux ne paraissent avoir envisagé de refaire ménage commun. La cohabitation effective des époux en Suisse a donc duré moins de trois ans, ces derniers ayant vécu ensemble en Suisse du 28 janvier 2019 (date de l'entrée en Suisse du recourant) au mois d'octobre de la même année. Ainsi, l'application de l'art. 50 al. 1 let. a LEI et de l'art. 77 al. 1 let. a OASA est exclue, sans qu'il soit nécessaire d'examiner si les critères d'intégration définis à l'art. 58a LEI sont remplis. c) Il reste à examiner si la poursuite du séjour en Suisse du recourant se justifie pour des raisons personnelles majeures au sens de l'art. 50 al. 1 let. b LEI et de l'art. 77 al.1 let. b OASA , comme il le soutient. aa) En l'occurrence, s'il est vrai que le recourant a séjourné à plusieurs reprises en Suisse entre 1999 et 2007, il a vécu près de douze ans en Equateur avant de rejoindre son épouse en Suisse en janvier 2019. Il est établi en Suisse depuis près de cinq ans à ce jour. Un tel séjour ne peut pas être qualifié de long, en particulier en comparaison avec le dernier séjour de douze ans du recourant en Equateur entre 2007 et 2019, pays dans lequel il a d'ailleurs conservé des attaches puisqu'au moins un de ses enfants y vit toujours. Au demeurant, le recourant semble toujours pouvoir disposer de la maison de ses parents en Equateur pour vivre. Le tribunal ne nie pas que le recourant ait pu, dans l'intervalle, s'intégrer socialement et professionnellement et qu'il réalise un salaire suffisant à couvrir ses besoins. Une intégration réussie ne suffit toutefois pas en soi pour remplir les conditions de l'art. 50 al. 1 let. b LEI et de l'art. 77 al. 1 let. b OASA. Quant au comportement du recourant, il n'a pas été exemplaire puisqu'il a été notamment condamné pour vol d'importance mineure en août 2019. Enfin l'arrivée d'un de ses enfants en Suisse depuis quelques mois ne saurait constituer un lien particulier avec la Suisse, ce d'autant plus que le recourant est parent d'un ou de deux autres enfants en Equateur. Ces différents éléments, même pris ensemble, ne sont pas si exceptionnels qu'ils feraient apparaître disproportionné le retour du recourant en Equateur. Il importe en réalité de s'assurer que sa réintégration dans son pays d'origine ne soit pas fortement compromise. Le recourant expose dans ses écritures que la situation dans laquelle il se trouverait s'il était renvoyé, s'opposerait à son départ. D'une part, le recourant allègue que lorsqu'il séjournait en Equateur, il était dépendant au "basuco", un dérivé de la cocaïne. Il redoute de retomber dans la consommation de stupéfiant en retournant en Amérique du Sud où la drogue est très présente. D'autre part, le recourant a produit différentes pièces visant à démontrer que la situation sécuritaire en Equateur serait très précaire à la suite d'une explosion de violence. Il allègue également être régulièrement la cible de menace le visant directement ainsi que son fils. bb) S'agissant des risques pour la santé soulevés par le recourant en lien avec une éventuelle dépendance, il y a lieu de voir que selon le Tribunal fédéral, les motifs médicaux peuvent constituer une raison personnelle majeure au sens de l'art. 50 al. 1 let. b LEI et de l'art. 77 al. 1 let. b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(TF 2C_150/2020 du</w:t>
      </w:r>
    </w:p>
    <w:p>
      <w:r>
        <w:rPr>
          <w:b/>
        </w:rPr>
        <w:t>E. 7</w:t>
      </w:r>
    </w:p>
    <w:p>
      <w:r>
        <w:t>Il s'ensuit que le recours, mal fondé, doit être rejeté et la décision attaquée confirmée. Il appartiendra à l'autorité intimée de fixer un nouveau délai de départ au recourant. Vu le sort de la cause, les frais de justice, arrêtés à 600 francs, sont mis à la charge du recourant qui succombe (cf. art. 49 al. 1 LPA-VD; art. 1 et 4 al. 1 du tarif vaudois du 28 avril 2015 des frais judiciaires et des dépens en matière administrative [TFJDA; BLV 173.36.5.1]). Il n'y a pas lieu d'allouer d'indemnité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