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PE.2023.0135 vom 20. Februar 2024</w:t>
      </w:r>
    </w:p>
    <w:p>
      <w:r>
        <w:t>VD Tribunal cantonal, 2024-02-20, FR</w:t>
      </w:r>
    </w:p>
    <w:p>
      <w:r>
        <w:rPr>
          <w:b/>
        </w:rPr>
        <w:t xml:space="preserve">Quelle: </w:t>
      </w:r>
      <w:r>
        <w:t>https://mcp.opencaselaw.ch/entscheid/vd_omni_PE.2023.0135</w:t>
      </w:r>
    </w:p>
    <w:p>
      <w:r>
        <w:t>FR: VD_OMNI PE.2023.0135 du 20 février 2024</w:t>
      </w:r>
    </w:p>
    <w:p>
      <w:r>
        <w:t>IT: VD_OMNI PE.2023.0135 del 20 febbraio 2024</w:t>
      </w:r>
    </w:p>
    <w:p>
      <w:pPr>
        <w:pStyle w:val="Heading2"/>
      </w:pPr>
      <w:r>
        <w:t>Regeste</w:t>
      </w:r>
    </w:p>
    <w:p>
      <w:r>
        <w:t>A.________/Service de la population (SPOP) | Alors qu'il était ressortissant d'un Etat tiers, le recourant, qui séjournait sans autorisation en Suisse, a été condamné en 2014 à deux ans de peine privative de liberté avec sursis pendant cinq ans pour viol et infraction à la LStup. Bien que son renvoi soit exécutoire, il n'a pu être exécuté, le recourant étant entré dans la clandestinité, avant de se légitimer plusieurs années après au moyen du passeport d'un Etat de l'UE. La relation qu'il entretient avec sa compagne, de nationalité suisse, est assimilable à une union conjugale; toutefois, le recourant représente toujours une menace réelle et actuelle d'une certaine gravité pour l'ordre et la sécurité publics, ce que le Tribunal fédéral a confirmé dans un arrêt datant de moins de deux ans. Confirmation du refus d'octroyer une autorisation de séjour.</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offre de prouver des allégués par son audition et celle d’C.________. Implicitement, il requiert la tenue d’une audience.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l’occurrence, le recourant, ressortissant communautaire, demande une autorisation de séjour, afin qu’il puisse contracter mariage avec sa fiancée, C.________, de nationalité suisse, et vivre à ses côtés. Comme on le verra plus loin, il se prévaut des droits que lui confèrent tant l'Accord du 21 juin 1999 entre la Confédération suisse, d'une part, et la Communauté européenne et ses Etats membres, d'autre part, sur la libre circulation des personnes (ALCP; RS 0.142.112.681) que l’art. 8 CEDH. A cet égard, il offre de prouver qu'il entretient depuis plusieurs années une relation avec une ressortissante suisse qui relève d'une situation de concubinage pouvant tomber sous le coup de l' art. 8 CEDH. En outre, comme on le verra plus loin, le recourant critique la décision attaquée sous l’angle du principe de la proportionnalité. Il fait valoir que l’autorité intimée n’aurait pas effectué de manière correcte la pesée des intérêts contradictoires en présence et invoque à cet égard la protection de sa vie familiale. C’est également dans le but de démontrer que celle-ci doit l’emporter sur l’intérêt public à l’éloigner qu’il requiert l’audition d’C.________. Toutefois, le dossier de la cause est complet et le recourant a eu la possibilité de s’exprimer par écrit. Les questions à résoudre sont pour l’essentiel d’ordre juridique et le Tribunal les examine avec un plein pouvoir d’examen. Le Tribunal dispose de tous les éléments lui permettant au surplus de contrôler la pesée des intérêts en présence effectuée par l’autorité intimée et de s’assurer que cette dernière n’a pas abusé du pouvoir d’appréciation qui lui est reconnu en la présente matière ou d’accueillir, à l’inverse, le grief du recourant. Par conséquent, il n’y a pas lieu, par appréciation anticipée des preuves, de donner suite à la réquisition du recourant.</w:t>
      </w:r>
    </w:p>
    <w:p>
      <w:r>
        <w:rPr>
          <w:b/>
        </w:rPr>
        <w:t>E. 2.2</w:t>
      </w:r>
    </w:p>
    <w:p>
      <w:r>
        <w:t>et 2.3). L'art. 30 al. 1 let. b LEI – en relation avec l'art. 31 OASA – prévoit en outre qu'il est possible de déroger aux conditions d'admission (art. 18 à 29) dans le but de tenir compte des cas individuels d'extrême gravité. Cette disposition permet en particulier de délivrer une autorisation de séjour en vue de mariage. Les directives établies par le Secrétariat d’Etat aux migrations (SEM), intitulées "I. Domaine des étrangers (Directives LEI)", version d'octobre 2013, actualisées au 1 er septembre 2023, prévoient ce qui suit à leur ch. 5.6.5: "En application de l’art. 30, al. 1,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Des séjours d’une durée supérieure à six mois ne peuvent être autorisés que dans des cas isolés et justifiés, notamment si l’authentification des documents d’état civil prend beaucoup de temps. La procédure relative au contrôle des documents de mariage est réglée de manière analogue à la directive du SEM du 25 juin 2012 «Demande d’entrée en vue du regroupement familial: Profil d’ADN et examen des actes d’état civil»." En outre, les Directives LEI précisent les conditions dans lesquelles une dérogation peut être accordée et une autorisation de séjour délivrée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Ces directives, édictées dans le but d’assurer l’application uniforme de certaines dispositions légales, n’ont cependant pas force de loi et ne lient ni les administrés, ni les tribunaux, ni même l’administration (ATF 146 II 321 consid. 4.3; 140 II 88 consid. 5.1.2; TF 5A_785/2009 du 2 février 2010 consid. 4.2). c) A cela s’ajoute qu’u n étranger peut également, selon les circonstances, se prévaloir du droit au respect de sa vie privée et familiale garanti par l'art. 8 CEDH – à l'instar de l'art. 13 al. 1 de la Constitution fédérale du 18 avril 1999 (Cst.; RS 101).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et les références).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 4.1 et les références citées). La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 Yigit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CourEDH Kroon et autres c. Pays-Bas du 27 octobre 1994, requête n° 18535/91, par. 7 et 30; X, Y et Z c. Royaume-Uni du 22 avril 1997, requête n° 21830/93, par. 12 ss et 36 s.; Yigit c. Turquie du 2 novembre 2011, requête n° 3976/05, par. 10). Ainsi, la durée de la vie commune constitue une donnée objective qui permet d'attester que la relation jouit d'une intensité et d'une stabilité suffisantes pour pouvoir être assimilée à une vie conjugale (TF 2C_1035/2012 du 21 décembre 2012 consid. 5.1). La jurisprudence a retenu qu'une durée de vie commune de respectivement dix-huit mois, de trois ans, ou encore de quatre ans, sans la présence d'enfant et de projet de mariage imminent, était insuffisante pour qu'un couple de concubins puisse se prévaloir d'une relation atteignant le degré de stabilité et d'intensité requis pour être assimilée à une union conjugale protégée par l'art. 8 CEDH (cf. TF 2D_37/2021 du 2 décembre 2021 consid. 3.2.2; 2C_832/2018 du 29 août 2019 consid. 2.2; 2C_85/2018 du 22 août 2018 consid. 8.4; 2C_880/2017 du 3 mai 2018 consid. 3.2.1; 2C_1035/2012 du 21 décembre 2012 consid. 5.2; 2C_97/2010 du 4 novembre 2010 consid. 3.3). Le Tribunal fédéral a toutefois retenu, s'agissant d'une relation ayant duré plus de deux ans, en présence d'un enfant commun et d'un projet de mariage concrétisé, l'existence d'une famille " naturelle " bénéficiant de la protection de l'art. 8 CEDH (TF 2C_661/2010 du 31 janvier 2011 consid. 3).</w:t>
      </w:r>
    </w:p>
    <w:p>
      <w:r>
        <w:rPr>
          <w:b/>
        </w:rPr>
        <w:t>E. 3</w:t>
      </w:r>
    </w:p>
    <w:p>
      <w:r>
        <w:t>De nationalité espagnole, le recourant est ressortissant communautaire. Toutefois, la LEI s'applique aux ressortissants des Etats membres de l'Union européenne lorsque l’ALCP n’en dispose pas autrement ou lorsqu'elle prévoit des dispositions plus favorables (art. 2 al. 2 LEI). a) La délivrance d’une autorisation de séjour au recourant aux fins d’exercice d’une activité lucrative au sens de l’art. 6 al. 1 annexe I ALCP a été refusée par le SEM, par décision du 25 septembre 2020. Ensuite de l’arrêt TF 2C_1049/2021 du 18 mars 2022, ce refus est définitif. Le recourant ne se prévaut ni d’un droit de demeurer (art. 4 annexe I ALCP), ni d’un droit au séjour sans exercice d’une activité économique (art. 24 par. 1 annexe I ALCP). Il invoque son droit à séjourner en Suisse pour y contracter mariage avec une Suissesse et vivre à ses côtés. Or, l’ALCP ne lui confère aucun droit à cet égard. b) L'art. 17 LEI,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du 24 octobre 2007 relative à l'admission, au séjour et à l'exercice d'une activité lucrative (OASA; RS 142.201) ,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"séjour procédural" vise à modérer l'obligation de quitter la Suisse imposée par l'art. 17 al. 1 LEI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TF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de l'aide sociale, etc.), permettant de dénier que les conditions d'admission sont manifestement remplies au sens de l'art. 17 al. 2 LEI, doit reposer sur des indices concrets suffisants; de vagues suppositions, dénuées d'ancrage tangible, ne suffisent pas (ATF 139 I 37 consid. 3.5 et 4.2; arrêt 2D_74/2015 du 28 avril 2016 consid.</w:t>
      </w:r>
    </w:p>
    <w:p>
      <w:r>
        <w:rPr>
          <w:b/>
        </w:rPr>
        <w:t>E. 4</w:t>
      </w:r>
    </w:p>
    <w:p>
      <w:r>
        <w:t>a) En l’occurrence, le recourant fait, selon ses explications, ménage commun à Lausanne avec C.________ depuis l’année 2019. Ils n’ont pas d’enfant commun mais le 7 juin 2022, tous deux ont entrepris l’ouverture d’une procédure préparatoire au mariage. Le 18 mai 2022, l’autorité intimée a du reste délivré au recourant une attestation tolérant son séjour sur le territoire vaudois afin d’y préparer son mariage, pour une brève période de deux mois. Ainsi, les circonstances du cas d'espèce permettent d'assimiler la relation entre le recourant et sa compagne à une véritable union conjugale, compte tenu de la jurisprudence précitée. Le recourant pourrait par conséquent retirer de ce qui précède de manière défendable un droit conféré par l' art. 8 CEDH lui permettant de rester en Suisse et obtenir ainsi, à l’issue du mariage avec une Suissesse, une autorisation de séjour au titre du regroupement familial avec son épouse, conformément à l’art. 42 al. 1 LEI. b) Les droits prévus à l’art. 42 LEI s’éteignent, notamment, lorsqu’il existe des motifs de révocation au sens de l’art. 63 LEI (cf. art. 51 al. 1 let. b LEI). Le recourant a été condamné en 2014 à une peine privative de longue durée, c'est-à-dire de plus d'un an, indépendamment du fait qu'elle ait été prononcée avec un sursis complet, un sursis partiel ou sans sursis (cf. ATF 139 I 145 consid. 2.1 p. 147). Dans une situation de ce genre, l'art. 62 al. 1 let. b LEI, auquel renvoie l’art. 63 al. 1 let. a LEI, permet à l'autorité compétente de révoquer et a fortiori, de refuser l'octroi d'une autorisation de séjour. A cela s’ajoute qu’aux termes de l’art. 5 annexe I ALCP, applicable aux ressortissants d’un pays de l’UE, les droits octroyés par les dispositions du présent accord ne peuvent être limités que par des mesures justifiées par des raisons d’ordre public, de sécurité publique et de santé publique. La jurisprudence a sans doute admis que l'existence d'un motif de révocation ou de refus d'une autorisation en matière de droit des étrangers (art. 62 et 63 LEI)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(cf. arrêts TF  2C_170/2018 du 18 avril 2018 consid. 4.2; 2C_299/2017 du 11 janvier 2018 consid. 4.3; 2C_253/2017 du 30 mai 2017 consid. 4.3; 2C_1224/2013 du 12 décembre 2014 consid. 5.1.2; 2C_1170/2012 du 24 mai 2013 consid. 3.4.2). Le délai de cinq ans commence à courir à compter de la date d'entrée en force de la décision initiale de refus, de non-renouvellement ou de révocation de l'autorisation de séjour ou d'établissement (cf. arrêt 2C_1224/2013 du 12 décembre 2014 consid. 5.1.2). Le nouvel examen de la demande suppose que l'étranger ait respecté son obligation de quitter la Suisse et ait fait ses preuves dans son pays d'origine ou de séjour (cf. arrêts TF 2C_254/2017 du 6 mars 2018 consid. 3.2.2; 2C_790/2017 du 12 janvier 2018 consid. 2.1 et 2.4; 2C_253/2017 du 30 mai 2017 consid. 4.3; 2C_519/2014 du 15 janvier 2015 consid. 3.7; 2C_1224/2013 du 12 décembre 2014 consid. 5.1.2; 2C_1170/2012 du 24 mai 2013 consid. 3.4.2). In casu, ces conditions ne sont pas réalisées et le Tribunal fédéral a encore confirmé, dans l’arrêt 2C_1049/2021 du 18 mars 2022, que le recourant représentait une menace réelle et actuelle d'une certaine gravité pour l'ordre et la sécurité publics, au sens ou l’entend l' art. 5 par. 1 annexe I ALCP (consid. 4.6, auquel il est renvoyé) . S’agissant du risque de récidive, particulièrement important dans l’applicabilité de la disposition précitée, on relève que le recourant n'a pas commis d'infractions depuis la fin du délai d'épreuve en décembre 2019. Ceci étant, rien ne peut laisser supposer que, dans les deux ans suivant l'arrêt précité, les circonstances aient pu se modifier au point qu'un nouvel examen de la demande d'autorisation s'imposerait largement avant le délai général de cinq ans admis par la jurisprudence (cf. arrêt TF 2C_170/2018 déjà cité consid. 4.3 et les références). Il s’avère en outre que le recourant ne s'est jamais conformé à l'ordre qui lui avait été donné de quitter la Suisse, entrant dans la clandestinité alors qu’une perquisition avait été ordonnée à son domicile et que des mesures de contrainte étaient sur le point d’être prononcées. Or, le respect de cet ordre constitue un préalable nécessaire à cet examen (ibid.). Ne pas exiger le respect de cette condition reviendrait à permettre au recourant de contourner la décision de renvoi prise à son encontre (cf. arrêt TF 2C_790/2017 déjà cité consid. 2.4). b) En outre, la jurisprudence récente exige que l'étranger ait résidé légalement en Suisse depuis plus de dix ans, ou, si la durée de la résidence est inférieure à dix ans, qu’il ait fait preuve d'une forte intégration, pour se prévaloir du droit au respect de la vie privée garanti par l'art. 8 CEDH (ATF 144 I 266 consid. 3.9; arrêts TF 2C_1049/2021 du 18 mars 2022 consid. 5.2; 2D_11/2021 du 20 septembre 2021 consid. 3; 2C_302/2019 du 1 er avril 2019 consid. 4.2). Comme le recourant n'a jamais séjourné légalement en Suisse, il n’est pas fondé à se prévaloir de la protection de la vie privée garantie par l'art. 8 CEDH. c) Par conséquent, en estimant que le recourant ne remplissait pas les conditions pour qu’une autorisation de séjour lui soit délivrée, l’autorité intimée n’a pas abusé du pouvoir d’appréciation qui lui est reconnu en la matière. Il reste cependant à vérifier si ce refus résiste en l’espèce à l’examen du principe de la proportionnalité.</w:t>
      </w:r>
    </w:p>
    <w:p>
      <w:r>
        <w:rPr>
          <w:b/>
        </w:rPr>
        <w:t>E. 5</w:t>
      </w:r>
    </w:p>
    <w:p>
      <w:r>
        <w:t>a) L’art. 96 al. 1 LEI impose aux autorités compétentes de tenir compte, en exerçant leur pouvoir d’appréciation, des intérêts publics, de la situation personnelle de l’étranger, ainsi que de son intégration. Le principe de proportionnalité au sens de l'art. 96 al. 1 LEI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145 consid. 2.4 p. 149; 16 consid. 2.2.1 p. 19 s.; 135 II 377 consid. 4.3 p. 381). Le droit au respect de la vie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p. 288; 135 I 153 consid. 2.2.1 p. 156). Le refus d'octroyer une autorisation de séjour fondé sur l'art. 8 par. 2 CEDH ne se justifie que si la pesée des intérêts à effectuer dans le cas d'espèce fait apparaître la mesure comme proportionnée aux circonstances (ATF 139 I 145 consid. 2.2 p. 147; 135 II 377 consid. 4.3 p. 381). Cette condition correspond aux exigences de l'art. 96 al. 1 LEI (ATF 140 I 145 consid. 4.3 p. 150 s.). b) En l’espèce, le recourant a été condamné à une peine privative de liberté de longue durée au sens de l' art. 62 al. 1 let. b LEI pour une infraction dont la nature (viol) fonde indéniablement un intérêt public important à refuser la délivrance d’une autorisation de séjour. Le Tribunal fédéral a retenu à cet égard que l'acte commis était très grave, dès lors que le recourant avait violé une adolescente de seize ans, après avoir assisté à un premier viol sur sa victime, en usant de force et persistant en dépit des efforts de la jeune femme pour lui échapper. L’intérêt public à son éloignement demeure donc particulièrement important. Du point de vue de l'intérêt privé, le recourant a obtenu un diplôme de comptabilité en 2021; travaillant de façon indépendante, il a suivi les cours préparatoires au brevet fédéral de spécialiste en finances et comptabilité et a été admis aux examens. Il n’a pas de dette et n’a jamais été assisté par les services sociaux. La réussite de l’intégration du recourant demeure toutefois nuancée par le fait qu’il n'a jamais donné suite aux ordres des autorités administratives et judiciaires de quitter la Suisse et a échappé aux mesures de contraintes en entrant dans la clandestinité. Certes, le projet de mariage du recourant, postérieur à l’arrêt précité, est sérieux. Toutefois, il n'a pas d'incidence sur l'examen de la proportionnalité, effectué en application de l'art. 8 par. 2 CEDH et 96 al. 1 LEI, dans la mesure où la fiancée du recourant ne pouvait ignorer que la situation de son compagnon en Suisse n'était que précaire (cf. dans ce sens, arrêts TF 2C_497/2019 du 12 juillet 2019 consid. 5.2; 2C_556/2018 du 14 novembre 2018 consid. 6.3). Ce projet de mariage a d'autant moins d'incidence dans la pesée des intérêts qu’il est intervenu postérieurement à l’arrêt TF 2C_1049/2021, confirmant le refus du SEM de délivrer au recourant une autorisation de séjour UE/AELE. A cette date en effet, il n'existait aucun élément concret qui démontrait que des démarches auraient été entamées. Ce projet, quand bien même sa concrétisation peut maintenant être retenue, ne saurait de toute façon être pris en compte, dans la mesure où le recourant est demeuré illégalement en Suisse et a échappé à l’exécution de son renvoi; sa situation ne saurait être jugée par les autorités à l'aune du fait accompli, ce qui de plus reviendrait à défavoriser les personnes qui agissent conformément au droit (ATF 129 II 249 consid. 2.3 p. 255; arrêt TF 2C_862/2018 du 15 janvier 2019 consid. 3.3). Cet élément n’est donc pas de nature à modifier la pesée des intérêts précédemment effectuée, notamment au regard de l'importante condamnation pénale subie. Pour le surplus, le recourant est jeune, célibataire et en bonne santé; à tout le moins, le contraire n’est pas allégué. Même si, selon ses indications, il n’a pas vécu en Espagne, pays dont il a nationalité, il en connaît la langue et son intégration y sera d’autant plus facilitée qu’il pourra mettre à profit l’ensemble des acquis de sa formation professionnelle en Suisse.</w:t>
      </w:r>
    </w:p>
    <w:p>
      <w:r>
        <w:rPr>
          <w:b/>
        </w:rPr>
        <w:t>E. 6</w:t>
      </w:r>
    </w:p>
    <w:p>
      <w:r>
        <w:t>a) Il résulte de ce qui précède que le recours doit être rejeté et la décision attaquée, confirmée. b) Le présent arrêt sera rendu sans frais (cf. art. 49 al. 1, 50, 91 et 99 LPA-VD). Compte tenu de ses ressources, le recourant sera mis au bénéfice de l'assistance judiciaire, comme il le demande.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Jennifer Puertas peut être arrêtée, pour la période du 21 juillet 2023 au 8 janvier 2024, à 4’360 fr.65, soit 3'855 fr. d'honoraires (21,41 h x 180 fr.), 192 fr.75 de débours (cf. art. 3 bis RAJ) et 312 fr.90 de TVA ([3’570 fr. + 178 fr.50] x 7,7%+ [285 fr. + 14 fr.25] x 8,1%). c) Il se justifie de renoncer à la perception d’un émolument (cf. art. 49 al. 1, 50, 91 et 99 LPA-VD). d)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c)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