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PE.2023.0093 vom 28. November 2023</w:t>
      </w:r>
    </w:p>
    <w:p>
      <w:r>
        <w:t>VD Tribunal cantonal, 2023-11-28, FR</w:t>
      </w:r>
    </w:p>
    <w:p>
      <w:r>
        <w:rPr>
          <w:b/>
        </w:rPr>
        <w:t xml:space="preserve">Quelle: </w:t>
      </w:r>
      <w:r>
        <w:t>https://mcp.opencaselaw.ch/entscheid/vd_omni_PE.2023.0093</w:t>
      </w:r>
    </w:p>
    <w:p>
      <w:r>
        <w:t>FR: VD_OMNI PE.2023.0093 du 28 novembre 2023</w:t>
      </w:r>
    </w:p>
    <w:p>
      <w:r>
        <w:t>IT: VD_OMNI PE.2023.0093 del 28 novembre 2023</w:t>
      </w:r>
    </w:p>
    <w:p>
      <w:pPr>
        <w:pStyle w:val="Heading2"/>
      </w:pPr>
      <w:r>
        <w:t>Regeste</w:t>
      </w:r>
    </w:p>
    <w:p>
      <w:r>
        <w:t>A.________/Service de la population (SPOP) | Recours contre le refus de prolonger une autorisation de séjour. Ressortissant UE, divorcé d'une ressortissante UE au bénéfice d'une autorisation de séjour, qui a travaillé à temps partiel de 2019 à 2021, tout en percevant le revenu d'insertion. Le certificat médical produit ne démontre pas qu'il souffre d'une incapacité durable de travail. Ses activités marginales et accessoires ne lui ont pas permis d'acquérir la qualité de travailleur (c.2d). Pas de droit de demeurer (c.2e). Pas de droit de séjour pour personne n'exerçant pas d'activité économique (c.2f). Le recourant ne peut pas se prévaloir d'une intégration professionnelle ou sociale réussie pour obtenir la prolongation de l'autorisation sur la base de l'art. 50 al. 1 let. a LEI (c.3a à 3c). Pas de raisons personnelles majeures au sens de l'art. 50 al.1 let. b LEI: court séjour légal en Suisse, réintégration possible en Italie et en Algérie, pays dans lequel il a vécu toute sa jeunesse (c.3d). Au vu de ce qu précède, l’examen de la situation sous l’angle du cas de rigueur au sens de l'OLCP et de la LEI tombe (c.4). Rejet du recours.</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entreprise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Déposé dans le délai légal, le recours a pour le surplus été formé par le destinataire de la décision entreprise et il satisfait aux exigences formelles prévues par la loi (art. 75, 79, 95 et 99 LPA-VD). Il y a donc lieu d'entrer en matière sur le fond.</w:t>
      </w:r>
    </w:p>
    <w:p>
      <w:r>
        <w:rPr>
          <w:b/>
        </w:rPr>
        <w:t>E. 2</w:t>
      </w:r>
    </w:p>
    <w:p>
      <w:r>
        <w:t>Le litige concerne le renouvellement de l'autorisation de séjour d'un ressortissant italien, qui avait obtenu une autorisation de séjour par regroupement familial auprès d'une ressortissante italienne titulaire d'une autorisation de séjour . a) A teneur de son art. 2 al. 2, la loi fédérale du 16 décembre 2005 sur les étrangers et l'intégration (LEI; RS 142.20) n'est applicable aux ressortissants des Etats membres de la Communauté européenne (à présent, l'Union européenne [UE]) et aux membres de leur famille que dans la mesure où l’Accord du 21 juin 1999 entre la Confédération suisse, d’une part, et la Communauté européenne et ses Etats membres, d’autre part, sur la libre circulation des personnes (ALCP; RS 0.142.112.681) n'en dispose pas autrement ou lorsque la LEI prévoit des dispositions plus favorables. b) Le conjoint d'une personne ressortissante d'une partie contractante ayant un droit de séjour et ses descendants ont le droit de s'installer avec elle (art. 7 let. d ALCP et art. 3 par. 1 et 2 Annexe I ALCP). C'est sur la base de cet article que le recourant s'était vu délivrer en 2019 une autorisation de séjour. Divorcé, c'est à juste titre qu'il ne se prévaut pas dans la présente espèce de l'art. 3 annexe I ALCP. Ayant entretemps obtenu la nationalité italienne, le recourant peut actuellement se prévaloir directement des droits conférés par l'ALCP. c) aa) Selon l'art. 2 par. 1 al. 1 Annexe I ALCP, les ressortissants d’une partie contractante ont le droit de séjourner et d’exercer une activité économique sur le territoire de l’autre partie contractante selon les modalités prévues aux chapitres II à IV (art. 6 à 23). D'après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Pour juger du statut de travailleur, le critère déterminant est celui de l’intégration au marché du travail (Christine Kaddous / Diane Grisel, Libre circulation des personnes et des services, Bâle 2012, p. 893). La protection accordée par l’art. 6 al. 6 annexe I ALCP ne concerne en effet que les personnes qui sont intégrées au marché du travail. C’est donc à la lumière de cette notion qu’il faut comprendre la distinction opérée entre d’une part les personnes qui ont exercé " un emploi d'une durée égale ou supérieure à un an au service d'un employeur de l'Etat d'accueil " et celles qui ne peuvent se prévaloir d’une telle durée. Sous cet angle, la personne qui exerce sur plusieurs années des emplois isolés dans le temps, de durée inférieure à un an, ne remplit pas le critère d’intégration sur le marché de l’emploi. Enfin, les périodes de chômage involontaire, ainsi que celles d’incapacité de travail ne peuvent pas être assimilées à des périodes d’emploi dans le calcul de la durée de l’emploi nécessaire à l’acquisition du statut de travailleur selon l’art. 6 al. 1 annexe I ALCP (sur l'ensemble des éléments précités, cf. arrêts PE.2020.0067 du 7 janvier 2021 consid. 4a et les références citées; PE.2016.0217 du 8 novembre 2017 consid. 3b; PE.2013.0448 du 14 janvier 2015 consid. 1a). Doit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 ATF 141 II 1 consid. 2.2.4; TF 2C_716/2018 du 13 décembre 2018 consid. 3.3; 2C_374/2018 du 15 août 2018 consid. 5.3.1; 2C_99/2018 du 15 mai 2018 consid. 4.2 ).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(TF 2C_835/2015 du 31 mars 2016 consid. 3.3; 2C_1162/2014 du 8 décembre 2015 consid. 3.4). L'arrêt 2C_1061/2013 du 14 juillet 2015 précise que la qualité de travailleur selon l'ALCP s'applique également aux " working poor ", c'est-à-dire aux travailleurs qui, bien qu'exerçant une activité réelle et effective, touchent un revenu qui ne suffit pas pour vivre ou faire vivre leur famille dans l'Etat d'accueil (consid. 4.2.1 in fine ). Le Tribunal fédéral considère qu'il n'en demeure pas moins que, pour apprécier si l'activité exercée est réelle et effective ou au contraire marginale ou accessoire,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Ainsi, selon la jurisprudence,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(consid. 4.2.2; cf. aussi ATF 131 II 339 consid. 3.4; TF 2C_716/2018 du 13 décembre 2018 consid. 3.4; 2C_374/2018 du 15 août 2018 consid. 5.3.2; 2C_669/2015 du 30 mars 2016 consid. 5.3.2; 2C_1137/2014 du 6 août 2015 consid. 3.3). bb) Le Tribunal fédéral a considéré qu'une activité à taux partiel donnant lieu à un salaire mensuel d'environ 600 à 800 fr. apparaissait tellement réduite et peu rémunératrice qu'elle devait être tenue pour marginale et accessoire (TF 2C_1137/2014 du 6 août 2015 consid. 4.3). Il a estimé qu’il en allait de même d’un travail de durée indéterminée sur appel, ayant procuré 42 heures de travail et un salaire de 808 fr. 30 le premier mois et 73 heures de travail et un salaire de 1'330 fr. 50 le second mois, soit 115 heures de travail en deux mois, auquel s’ajoutait un second emploi à raison de 16 heures par mois (TF 2C_669/2015 du 30 mars 2016 consid. 6.2). Il a également retenu qu'un contrat de travail de durée indéterminée sur appel ayant abouti, sur une durée de quatre mois, à un taux d'occupation inférieure à 50% (à savoir une moyenne de 79.80 heures/mois) et à un revenu mensuel moyen de 1'673 fr. 65 constituait une activité marginale et accessoire (TF 2C_98/2015 du</w:t>
      </w:r>
    </w:p>
    <w:p>
      <w:r>
        <w:rPr>
          <w:b/>
        </w:rPr>
        <w:t>E. 3</w:t>
      </w:r>
    </w:p>
    <w:p>
      <w:r>
        <w:t>Le recourant conteste la décision sur opposition en faisant valoir qu'il aurait droit à la prolongation de son autorisation de séjour sur la base de l'art. 50 LEI. a) Sous l'angle du droit interne, après la fin de l'union conjugale, le règlement des conditions de séjour des membres de la famille de ressortissants de l'UE s'examine sur la base des dispositions de la LEI. L'art. 50 LEI fixe les conditions auxquelles subsiste après dissolution de la famille le droit de l'ex-conjoint d'un ressortissant suisse ou du titulaire d'une autorisation d'établissement à l'octroi d'une autorisation de séjour et à la prolongation de sa durée de validité; cette disposition ne s'applique par contre pas à l'ex-conjoint du titulaire d'une autorisation de séjour, dont la situation est réglée par l'art. 77 de l'ordonnance fédérale du 24 octobre 2007 relative à l'admission, au séjour et à l'exercice d'une activité lucrative (OASA; RS 142.201). Selon le Tribunal fédéral, eu égard à l'interdiction de la discrimination de l'art. 2 ALCP, les ex-conjoints de ressortissants de l'UE doivent être traités de la même manière que les ex-conjoints des ressortissants suisses, si bien que l'art. 50 LEI leur est applicable même si leur ex-conjoint - en l'occurrence l'ex-épouse du recourant - n'est titulaire que d'une autorisation de séjour UE/AELE et non pas d'une autorisation d'établissement; l'application de l'art. 50 LEI, à la place de l'art. 77 OASA, se justifie toutefois uniquement si l'ex-conjoint qui est ressortissant de l'UE dispose encore d'un droit de séjour en Suisse en vertu de l'ALCP (cf. ATF 144 II 1 consid. 4; TF 2C_72/2021 du 7 mai 2021 consid. 5.2) ou autrement dit il faut que le ressortissant de l’UE se trouve toujours en Suisse au bénéfice d'un droit de séjour en vertu de l'ALCP. S’il a quitté la Suisse, le fait qu’il revienne y vivre ne fait pas renaître le droit au regroupement familial au sens de l'ALCP et, par conséquent le droit au séjour prévu par l’art. 50 LEI (cf. TF 2C_812/2020 du 23 février 2021, consid. 2.2.1 et s; voir récemment PE.2023.0020 du 14 juin 2023 consid.2). En l'occurrence, il semble que l'épouse du recourant demeure toujours en Suisse. La question peut cependant demeurer indécise, au vu de ce qui suit. b) L'art. 50 al. 1 let. a LEI dispose qu'après la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LEI sont remplis. Ces deux conditions sont cumulatives (ATF 140 II 289 consid. 3.5.3). L'art. 77 OASA prévoit que l'autorisation de séjour octroyée au conjoint et aux enfants au titre du regroupement familial en vertu de l’art. 44 LEI peut être prolongée aux mêmes conditions. Cette disposition se distingue ainsi de l'art. 50 al. 1 LEI en ce qu'elle ne consacre pas un droit à l'octroi ou au renouvellement de l'autorisation, mais elle offre à l'autorité cantonale un certain pouvoir d'appréciation. Comme déjà relevé, les conditions posées par l'art. 77 OASA doivent cependant être interprétées et appliquées de manière identique à celles de l'art. 50 al. 1 LEI (CDAP PE.2019.0331 du 12 février 2020). c) En l'espèce, il n'est pas contesté que l'union conjugale entre le recourant et son épouse titulaire d'une autorisation d'établissement a duré plus de trois ans. L'art. 50 al. 1 let. a LEI est donc applicable en l'espèce et il y a lieu d’examiner si le recourant remplit les critères d’intégration de l’art. 58a LEI, deuxième condition posée par l’art. 50 al. 1 let. a LEI. d) aa) L'art. 58a LEI prévoit que pour évaluer l’intégration, l’autorité compétente tient compte des critères suivants (al. 1): le respect de la sécurité et de l’ordre publics (let. a); le respect des valeurs de la Constitution (let. b); les compétences linguistiques (let. c); la participation à la vie économique ou l’acquisition d’une formation (let. d). La situation des personnes qui, du fait d’un handicap ou d’une maladie ou pour d’autres raisons personnelles majeures, ne remplissent pas ou remplissent difficilement les critères d’intégration prévus à l’al. 1, let. c et d, est prise en compte de manière appropriée (al. 2). Le Conseil fédéral détermine quelles sont les compétences linguistiques requises au moment de l’octroi ou de la prolongation d’une autorisation (al. 3). Selon la jurisprudence (voir notamment TF 2C_723/2022 du 30 novembre 2022 consid. 4.1 et les réf. cit.), il n'y a notamment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L'essentiel en la matière est que l'étranger subvienne à ses besoins, n'émarge pas à l'aide sociale et ne s'endette pas de manière disproportionnée. L'évolution de la situation financière doit donc être prise en considération à cet égard. La jurisprudence a précisé en outre que l'évaluation de l'intégration d'un étranger devait s'examiner à l'aune d'une appréciation globale des circonstances. bb) En l’occurrence, le recourant ne peut pas se prévaloir d'une intégration professionnelle réussie. En effet, il travaille de manière irrégulière et dépend durablement de l'aide sociale. S’agissant de l’intégration du recourant sur le plan social, le dossier ne contient aucun élément particulier. On rappelle à cet égard que, de jurisprudence constante,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Au vu de ce qui précède, l’appréciation de l’autorité intimée selon laquelle le recourant ne remplit pas les critères d'une intégration réussie au sens de l’art. 58a LEI ne prête pas le flanc à la critique. Il s'ensuit que le recourant ne peut pas se prévaloir de l'art. 50 al. 1 let. a LEI pour obtenir la prolongation de son autorisation de séjour d ) Il convient encore d'examiner si le recourant peut invoquer l'existence de raisons personnelles majeures au sens de l'art. 50 al.1 let. b LEI. aa) La situation visée par l'art. 50 al. 1 let. b LEI s’apparente au cas de rigueur selon l’art. 30 al. 1 let. b LEI. Au demeurant, l’art. 31 OASA se rapporte autant à cette dernière disposition qu’à l’art. 50 al. 1 let. b LEI; l'art. 31 al. 1 OASA prévoit que, parmi les éléments déterminants pour la reconnaissance d'un cas de rigueur, figurent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arrêts PE.2021.0083 du 28 septembre 2021 consid. 3c/aa; PE.2020.0143 du 17 septembre 2020 consid. 2c/aa; PE.2020.0013 du 8 juillet 2020 consid. 4c et les références). bb) L'art. 50 al. 1 let. b LEI vise à régler les situations qui échappent aux dispositions de l'art. 50 al. 1 let. a LEI mais dans lesquelles, eu égard à l'ensemble des circonstances, l'étranger se trouve dans un cas de rigueur après la dissolution de la famille (ATF 138 II 393 consid. 3.1; 137 II 345 consid. 3.2.1). Tel est notamment le cas, en vertu de l’art. 50 al. 2 LEI, lorsque la réintégration sociale dans le pays de provenance semble fortement compromise. Dans cette hypothèse,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3.2.3; TF 2C_436/2021 du 22 juin 2021 consid. 5.3).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(TF 2C_737/2020 du 23 novembre 2020 consid. 4.2 et la référence). Pour le reste, et d'une façon générale,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LEI se présentent. cc) Dans le cas d'espèce, le recourant a vécu légalement en Suisse durant quatre ans, ce qui ne constitue pas une longue période. Certes, il ressort du dossier qu'il aurait déjà séjourné auparavant en Suisse. Toutefois, il importe de préciser que les éventuelles années passées en Suisse avant 2019 par le recourant ne lui sont pas imputables, car il s'agissait soit de séjours illégaux soit de séjours à titre temporaire, voire de séjours en prison. Or le Tribunal fédéral a précisé que la durée d'un séjour précaire ou illégal n'était pas prise en compte dans l'examen d'un cas de rigueur ou alors seulement dans une mesure moindre, sans quoi l'obstination à violer la législation en vigueur serait en quelque sorte récompensée (cf. ATF 137 II 1 consid. 4.3; 134 II 10 consid. 4.3; 130 II 39 consid. 3; arrêts TF 2C_789/2020 du 3 décembre 2020 consid. 7; TF 2C_647/2016 du 2 décembre 2016 consid. 3.4; cf. aussi PE.2022.0043 du 1 er juillet 2022 consid. 4a). Le fait de tenir compte, en faveur du recourant, de la durée de son séjour sur territoire helvétique avant 2019 reviendrait à encourager la "politique du fait accompli". Au surplus, le recourant ne se prévaut pas de son séjour antérieur à 2019. Dans ces circonstances, le recourant ne saurait tirer parti de la seule durée de son séjour en Suisse pour bénéficier d'une dérogation aux conditions d'admission, puisqu'il se trouve dans une situation comparable à celle de nombreux étrangers qui sont appelés à quitter la Suisse au terme d'un séjour autorisé ou non et qui, ne bénéficiant d'aucun traitement particulier, demeurent soumis aux conditions d'admission usuelles. Par ailleurs, l'illégalité ou la précarité de ce séjour ne permet pas au recourant de se prévaloir de l'art. 8 CEDH sous l'angle de la protection de sa vie privée (cf. ATF 144 I 266 consid. 3.8 et 3.9), ce qu'il n'invoque d'ailleurs pas, à juste titre. Partant, il y a lieu d'examiner si des critères d'évaluation autres que la seule durée du séjour en Suisse seraient de nature à admettre qu'un départ de ce pays placerait le recourant dans une situation extrêmement rigoureuse. On a déjà vu que tel n'est pas le cas de l'intégration professionnelle et sociale du recourant. Quant aux possibilités de réintégration dans le pays d'origine, le recourant estime que l'on ne peut pas exiger de sa part qu'il parte en Italie. Il indique qu'il n'y aurait vécu que six mois entre 2016 et 2017. Il n'en demeure pas moins qu'il ressort du dossier qu'il est entré en Italie en 2015 pour épouser une ressortissante de ce pays et qu'il n'est arrivé en Suisse qu'en 2019. En outre, le rapport d'arrivé en Suisse du 25 janvier 2019 indique que le dernier domicile régulier du recourant se trouvait en Italie, à ********. La demande de visa de long séjour, avec but de regroupement familial, qu'il avait déposée en mars 2018 indiquait le même domicile. Le dossier fait ainsi état de certains liens avec l'Italie. Il n'y a toutefois pas lieu d'examiner plus en détail cette question. En effet, en tant que personne adulte et d'une santé suffisante pour être apte au placement à 100%, le recourant doit être considéré comme apte à se réintégrer de manière indépendante en Algérie, pays dans lequel il a vécu toute sa jeunesse. Il est en mesure de travailler et de gagner sa vie dans ce pays: il n'apparaît pas que la recherche d'un emploi serait plus difficile pour le recourant que pour d'autres compatriotes à la recherche d'un emploi, à tout le moins pas dans une mesure particulièrement accrue. De manière générale, la Cour de céans retient que les années de l'enfance, de la jeunesse et des études sont déterminantes pour la formation de la personnalité et, partant, pour l'intégration socioculturelle. Le séjour du recourant en Suisse entre 2019 et 2023, soit entre 46 et 50 ans, n'apparaît ainsi guère important (cf. ATF 123 II 125 consid. 5b/aa; arrêt TF 2C_196/2014 du 19 mai 2014 consid. 4.2). Il faut supposer que le recourant sera en mesure, après une période de réadaptation, de retrouver ses repères en Algérie. Il est par ailleurs vraisemblable que le recourant, qui ne mentionne pas avoir de famille en Suisse avec laquelle il serait en contact, sera en mesure de compter sur un réseau familial dans son pays d'origine. Il ressort de ce qui précède que le besoin du recourant de vivre en Suisse est faible. C'est à juste titre que l'autorité intimée a estimé que la poursuite du séjour en Suisse du recourant ne s'imposait pas en vertu de la LEI.</w:t>
      </w:r>
    </w:p>
    <w:p>
      <w:r>
        <w:rPr>
          <w:b/>
        </w:rPr>
        <w:t>E. 4</w:t>
      </w:r>
    </w:p>
    <w:p>
      <w:r>
        <w:t>a) Aux termes de l'art. 20 OLCP, si les conditions d'admission sans activité lucrative ne sont pas remplies au sens de l'ALCP ou de la Convention instituant l'AELE, une autorisation de séjour UE/AELE peut être délivrée lorsque des motifs importants l'exigent. L'art. 30 al. 1 let. b LEI prévoit quant à lui qu'il est possible de déroger aux conditions d'admission des étrangers notamment dans le but de tenir compte des cas individuels d'extrême gravité. b) Lorsqu’il est constaté, comme en l’espèce, que le recourant ne peut prétendre à un droit à séjourner en Suisse après la dissolution de la famille (au sens de l’art. 50 al. 1 let. a et b LEI), l’examen séparé de sa situation sous l’angle du cas de rigueur au sens des art. 20 OLCP et 30 al. 1 let. b LEI tombe (cf. TAF F-7189/2018 du 19 décembre 2019 consid. 7.4; PE.2022.0125 du 22 juin 2023 consid. 10 et les références citées).</w:t>
      </w:r>
    </w:p>
    <w:p>
      <w:r>
        <w:rPr>
          <w:b/>
        </w:rPr>
        <w:t>E. 5</w:t>
      </w:r>
    </w:p>
    <w:p>
      <w:r>
        <w:t>Le recours doit ainsi être rejeté et la décision attaquée confirmée. a) Compte tenu de ses ressources, le recourant a été mis au bénéfice de l'assistance judiciaire. L'avocat qui procède au bénéfice de l'assistance judiciaire dans le Canton de Vaud peut prétendre à un tarif horaire de 180 fr. et le stagiaire à un tarif horaire de 110 fr. (art. 2 al. 1 let. a et b du règlement vaudois du 7 décembre 2010 sur l'assistance judiciaire en matière civile [RAJ; RSV 211.02.3], applicable par renvoi de l'art. 18 al. 5 LPA-VD), ainsi qu'aux débours figurant sur la liste des opérations et débours (art. 3 al. 1 RAJ). Dans sa liste des opérations du 14 novembre 2023, le conseil d’office de la recourante a indiqué avoir consacré à l’affaire, avec son stagiaire, 16 heures et 2 minutes, ce qui paraît approprié aux nécessités du cas. Le montant des honoraires est donc arrêté à 1'932 fr. 84 d'honoraires (2 h. 25 x 180 fr. et 13 h. 37 x 110 fr.), 41 fr. 96 de débours (selon la liste des opérations) et 148 fr. 83 de TVA (1'932 fr. 84 x 7,7%). Le montant de l'indemnité d'office allouée s’élève ainsi à 2'123 fr. 63, arrondi à 2'123 fr. 65. b) Il se justifie de renoncer à la perception d’un émolument (cf. art. 49 al. 1, 50, 91 et 99 LPA-VD). c) L’indemnité du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d) Vu le sort du recours, il n'y a pas lieu d'allouer des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