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PE.2023.0091 vom 20. Februar 2024</w:t>
      </w:r>
    </w:p>
    <w:p>
      <w:r>
        <w:t>VD Tribunal cantonal, 2024-02-20, FR</w:t>
      </w:r>
    </w:p>
    <w:p>
      <w:r>
        <w:rPr>
          <w:b/>
        </w:rPr>
        <w:t xml:space="preserve">Quelle: </w:t>
      </w:r>
      <w:r>
        <w:t>https://mcp.opencaselaw.ch/entscheid/vd_omni_PE.2023.0091</w:t>
      </w:r>
    </w:p>
    <w:p>
      <w:r>
        <w:t>FR: VD_OMNI PE.2023.0091 du 20 février 2024</w:t>
      </w:r>
    </w:p>
    <w:p>
      <w:r>
        <w:t>IT: VD_OMNI PE.2023.0091 del 20 febbraio 2024</w:t>
      </w:r>
    </w:p>
    <w:p>
      <w:pPr>
        <w:pStyle w:val="Heading2"/>
      </w:pPr>
      <w:r>
        <w:t>Regeste</w:t>
      </w:r>
    </w:p>
    <w:p>
      <w:r>
        <w:t>A.________ /Service de la population (SPOP) | Refus de renouveler l'autorisation de séjour d'un ressortissant français arrivé en Suisse en décembre 2017 au bénéfice d'un contrat de travail à durée indéterminée, puis de contrats de mission. En août 2019, il a été victime d'un accident professionnel qui lui a causé une incapacité de travail durant plusieurs mois. L'OAI lui a reconnu un droit à une rente entière limitée dans le temps considérant que le recourant pouvait reprendre l'exercice d'une activité lucrative à 100% à condition que celle-ci soit adaptée à ses limites fonctionnelles. Droit de demeurer d'un ressortissant d'une partie contractante au bénéfice d'une autorisation de séjour avec activité lucrative en cas de cessation involontaire des rapports de travail (consid.2). Droit de demeurer du ressortissant d'une partie contractante qui cesse d'occuper un emploi salarié à la suite d'une incapacité permanente de travail (consid. 3). En l'occurrence, le recourant ne bénéficie d'un droit de demeurer à aucun de ces deux titres. Il ne peut davantage prétendre à une autorisation de séjour pour personne n'exerçant pas une activité économique (la simple possibilité d'obtenir un emploi ou bénéficier d'une éventuelle rente partielle ne suffisant pas à retenir qu'il ne sera plus à l'assistance publique), ni à une autorisation de séjour pour cas de rigueur. Recours rejeté. Recours au TF rejeté (2C_162/2024 du 30 janvier 2025).</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conformément aux art. 92 ss de la loi du 28 octobre 2008 sur la procédure administrative (LPA-VD; BLV 173.36). Déposé en temps utile (cf. art. 95 LPA-VD), le recours satisfait en outre aux autres conditions formelles de recevabilité (notamment art. 79 LPA-VD, par renvoi de l'art. 99 LPA-VD). Il y a donc lieu d'entrer en matière sur le fond.</w:t>
      </w:r>
    </w:p>
    <w:p>
      <w:r>
        <w:rPr>
          <w:b/>
        </w:rPr>
        <w:t>E. 2</w:t>
      </w:r>
    </w:p>
    <w:p>
      <w:r>
        <w:t>Si le versement d'indemnités de chômage perdure à l'échéance du délai de six mois prévu à l'al. 1, le droit de séjour prend fin à l'échéance du versement de ces indemnités.</w:t>
      </w:r>
    </w:p>
    <w:p>
      <w:r>
        <w:rPr>
          <w:b/>
        </w:rPr>
        <w:t>E. 3</w:t>
      </w:r>
    </w:p>
    <w:p>
      <w:r>
        <w:t>Entre la cessation des rapports de travail et l'extinction du droit de séjour visée aux al. 1 et 2, aucun droit à l'aide sociale n'est reconnu.</w:t>
      </w:r>
    </w:p>
    <w:p>
      <w:r>
        <w:rPr>
          <w:b/>
        </w:rPr>
        <w:t>E. 4</w:t>
      </w:r>
    </w:p>
    <w:p>
      <w:r>
        <w:t>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5</w:t>
      </w:r>
    </w:p>
    <w:p>
      <w:r>
        <w:t>Il reste à examiner si le recourant peut prétendre à une autorisation de séjour pour cas de rigueur. a) Aux termes de l'art. 20 OLCP, si les conditions d'admission sans activité lucrative ne sont pas remplies au sens de l'ALCP ou de la Convention instituant l'AELE, une autorisation de séjour UE/AELE peut être délivrée lorsque des motifs importants l'exigent. L'art. 30 al. 1 let. b LEI prévoit quant à lui qu'il est possible de déroger aux conditions d'admission des étrangers (art. 18 à 29 LEI) notamment dans le but de tenir compte des cas individuels d'extrême gravité. Ces dispositions doivent toutes deux être interprétées en relation avec l'art. 31 de l'ordonnance fédérale du 24 octobre 2007 relative à l'admission, au séjour et à l'exercice d'une activité lucrative (OASA; RS 142.201), lequel énumère de manière non exhaustive les critères que les autorités doivent prendre en considération pour octroyer une autorisation de séjour dans les cas individuels d'extrême gravité. Les éléments évoqués à l'art. 31 al. 1 OASA peuvent jouer un rôle important dans l'appréciation, même si pris individuellement, ils ne suffisent en principe pas à fonder un cas individuel d'une extrême gravité (ATF 137 II 345 consid. 3.2.3). Ils se rapportent notamment à l'intégration du requérant sur la base des critères définis à l'art. 58a al. 1 LEI (let. a), à la situation familiale, particulièrement à la période de scolarisation et à la durée de la scolarité des enfants (let. c), à la situation financière (let. d), à la durée de la présence en Suisse (let. e), à l'état de santé (let. f) et aux possibilités de réintégration dans l'Etat de provenance (let. g). b)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Des motifs médicaux peuvent, suivant les circonstances (cf. art. 31 al. 1 let. f OASA), conduire à la reconnaissance d'un cas individuel d'extrême gravité,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(cf. arrêt du Tribunal administratif fédéral [TAF] C-6116/2012 du 18 février 2014 consid. 7.3.1; C-4970/2011 du 17 octobre 2013 consid. 7.6.1; C-1888/2012 du 23 juillet 2013 consid. 6.4). En revanche, le seul fait d'obtenir en Suisse des prestations médicales supérieures à celles offertes dans le pays d'origine ne suffit pas à justifier une exception aux mesures de limitation (cf. TAF F-3883/2016 du 15 novembre 2017 consid. 9.3; F-362/2015 du 28 juillet 2016 consid. 5.2.3). Une grave maladie (à supposer qu'elle ne puisse pas être soignée dans le pays d'origine) ne saurait justifier, à elle seule, la reconnaissance d'un cas de rigueur au sens des dispositions précitées, l'aspect médical ne constituant qu'un élément parmi d'autres à prendre en considération (cf. TAF C-357/2012 du 28 mai 2014 consid. 9.1; C-6228/2012 du 26 mars 2013 consid. 9.3.1). c) En l’occurrence, le recourant avait séjourné en Suisse durant un peu plus de cinq ans lors du prononcé de la décision de première instance (étant précisé que, depuis lors, son séjour se poursuit grâce à l’effet suspensif de son opposition, puis de son recours), ce qui ne constitue pas une durée importante et ne permet pas de conclure à un enracinement particulier. Arrivé en Suisse à l’âge de 27 ans, le recourant a donc passé la majeure partie de sa vie dans son pays d’origine, où il a nécessairement conservé des attaches familiales, sociales et culturelles. A cela s’ajoute qu’il n’allègue pas avoir tissé en Suisse des liens personnels ou sociaux particulièrement étroits, qui rendraient un retour en France inexigible, étant rappelé que les relations de travail, d'amitié ou de voisinage qu’un ressortissant étranger noue pendant son séjour ne constituent normalement pas des liens si étroits avec notre pays qu'ils justifient une exception aux mesures de limitation du nombre des étrangers. Il ne devrait ainsi pas rencontrer de difficultés particulières à se réintégrer dans son pays d’origine. Par ailleurs, le recourant n’apporte aucun élément donnant à penser qu’il ne pourrait pas bénéficier de soins médicaux adaptés en France, pays qui dispose d’infrastructures médicales et sociales similaires à celles existant en Suisse. Il pourra également bénéficier d'une structure de santé sociale et administrative similaire à celle connue en Suisse (cf. CDAP PE.2023.0025 du 21 août 2023). Au vu de ces éléments, il y a lieu d’admettre que l’autorité intimée a considéré à juste titre que les conditions pour la délivrance d’une autorisation de séjour fondée sur les art. 20 OLCP et 30 al. 1 let. b LEI n’étaient pas réalisées.</w:t>
      </w:r>
    </w:p>
    <w:p>
      <w:r>
        <w:rPr>
          <w:b/>
        </w:rPr>
        <w:t>E. 5.1</w:t>
      </w:r>
    </w:p>
    <w:p>
      <w:r>
        <w:t>et les arrêts cités.).</w:t>
      </w:r>
    </w:p>
    <w:p>
      <w:r>
        <w:rPr>
          <w:b/>
        </w:rPr>
        <w:t>E. 6</w:t>
      </w:r>
    </w:p>
    <w:p>
      <w:r>
        <w:t>En définitive, la décision entreprise est conforme au droit et ne procède pas d'un excès ou d'un abus par l'autorité intimée de son pouvoir d'appréciation. C’est dès lors à juste titre que l’autorité intimée a refusé de prolonger l’autorisation de séjour du recourant et prononcé son renvoi de Suisse.</w:t>
      </w:r>
    </w:p>
    <w:p>
      <w:r>
        <w:rPr>
          <w:b/>
        </w:rPr>
        <w:t>E. 7</w:t>
      </w:r>
    </w:p>
    <w:p>
      <w:r>
        <w:t>Les considérants qui précèdent conduisent au rejet du recours et à la confirmation de la décision attaquée. Vu l'issue du recours, un émolument judiciaire devrait être mis à la charge du recourant, qui succombe (cf. art. 49 al. 1, 91 et 99 LPA-VD). Au vu des circonstances, toutefois, les frais seront laissés à la charge de l’Etat (cf. art. 50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