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PE.2023.0064 vom 24. Mai 2024</w:t>
      </w:r>
    </w:p>
    <w:p>
      <w:r>
        <w:t>VD Tribunal cantonal, 2024-05-24, FR</w:t>
      </w:r>
    </w:p>
    <w:p>
      <w:r>
        <w:rPr>
          <w:b/>
        </w:rPr>
        <w:t xml:space="preserve">Quelle: </w:t>
      </w:r>
      <w:r>
        <w:t>https://mcp.opencaselaw.ch/entscheid/vd_omni_PE.2023.0064</w:t>
      </w:r>
    </w:p>
    <w:p>
      <w:r>
        <w:t>FR: VD_OMNI PE.2023.0064 du 24 mai 2024</w:t>
      </w:r>
    </w:p>
    <w:p>
      <w:r>
        <w:t>IT: VD_OMNI PE.2023.0064 del 24 maggio 2024</w:t>
      </w:r>
    </w:p>
    <w:p>
      <w:pPr>
        <w:pStyle w:val="Heading2"/>
      </w:pPr>
      <w:r>
        <w:t>Regeste</w:t>
      </w:r>
    </w:p>
    <w:p>
      <w:r>
        <w:t>A.________/Direction générale de l'emploi et du marché du travail (DGEM), Service de la population (SPOP) | Ressortissant d'Albanie, le recourant projette d’entreprendre une activité indépendante consistant à commercialiser et appliquer depuis la Suisse un design industriel, protégé, d'une bouteille d'alcool en verre, dont il est l’auteur et sur laquelle il détient les droits, enregistrés en République Tchèque. Or, il n’est pas démontré que cette start-up puisse créer des emplois pour la main-d'œuvre locale, à brève échéance à tout le moins. En considérant que l'activité envisagée ne revêtait aucun intérêt économique important et en refusant l'autorisation requise afin que le recourant puisse excercer cette activité en qualité d'indépendant, la DGEM n'a pas abusé de la liberté d'appréciation qui lui est conférée. Rejet du recours.</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titre préliminaire, le recourant se plaint du retard avec lequel sa demande aurait été traitée par l’autorité intimée. a) Aux termes de l’art. 29 al. 1 Cst.,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135 I 265 consid. 4.4; 131 V 407 consid. 1.1; 130 I 312 consid. 5.1).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(v. outre les ATF précités, arrêts TF 2C_68/2022 du 8 décembre 2022 consid. 3.2; 2C_89/2014 du 26 novembre 2014 consid. 5.1). b) Le recourant constate que dix-sept semaines séparent le dépôt de sa demande de la communication de la décision négative attaquée. Il fait valoir que son dossier n’aurait pas été traité avec célérité et doute de son traitement approprié, se prévalant à cet égard de l’indication, figurant sur le site de l’Etat de Vaud (www.vd.ch/economie), selon laquelle l’ensemble des démarches jusqu’à l’obtention de la décision cantonale, n'excède pas quatre semaines en moyenne. Or, on ne voit pas à cet égard en quoi une durée de dix-sept semaines excéderait la limite considérée comme étant raisonnable pour le traitement d’une demande. Le recourant perd de vue à cet égard que la durée figurant sur le site de l’Etat de Vaud n’est qu’indicative et ne constitue qu’une moyenne. S’agissant d’une start-up, qui par définition, innove et expérimente une nouvelle activité sur un marché émergeant,  on peut comprendre que l’autorité intimée ait besoin de davantage de temps que celui qu’elle consacre à une entreprise traditionnelle pour statuer sur une demande d’autorisation de travail. Le recourant se plaint sans doute des conséquences du temps mis à statuer pour la mise en place de sa start-up; or, il ne ressort pas du dossier qu’il soit intervenu auprès de l’autorité intimée afin que celle-ci rende sa décision au plus vite. Par conséquent, le grief du recourant est inconsistant.</w:t>
      </w:r>
    </w:p>
    <w:p>
      <w:r>
        <w:rPr>
          <w:b/>
        </w:rPr>
        <w:t>E. 3</w:t>
      </w:r>
    </w:p>
    <w:p>
      <w:r>
        <w:t>Le recourant reproche à l’autorité intimée d’avoir abusé du pouvoir d’appréciation qui lui est reconnu en la présente matière en refusant d’accueillir sa demande et de rendre une décision préalable positive. a) On rappelle qu’aux termes de l’art. 11 al. 1 de la loi fédérale du 16 décembre 2005 sur les étrangers et l’intégration (LEI; RS 142.20),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à la DGEM, vu l’art. 64 let. a LEmp.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migrations [SEM], Directives et commentaires, I. Domaine des étrangers [Directives LEI], état au 1 er avril 2024, ch. 4.6.1). Vu l’art. 1 er let. a ch. 1 de l’ordonnance du DFJP relative aux autorisations et aux décisions préalables dans le domaine du droit des étrangers soumises à la procédure d’approbation (RS 142.202.1), les décisions préalables des autorités cantonales du marché du travail portant sur des ressortissants d’États non membres de l’Union européenne (UE) ou de l’Association européenne de libre-échange (AELE) ou du Royaume-Uni et qui concernent l’exercice d’une activité lucrative indépendante, lorsque les conditions de l’art. 19 LEI sont remplies, sont soumises pour approbation au SEM. Il s’agit là d’un système basé sur les risques au sein duquel le SEM assume sa fonction de surveillance de l’exécution du droit des étrangers dans les cantons conformément à l’art. 12 de l’ordonnance sur l’organisation du Département fédéral de justice et police (Org DFJP; RS 172.213.1). b)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Les personnes provenant d’Etats tiers, à l’image du recourant, ne peuvent se prévaloir d’un droit d’exercer une activité indépendante que si elles sont titulaires d’une autorisation d’établissement (cf. art. 38 al. 4 LEI), ou si elles sont le conjoint de ce titulaire ou le conjoint de citoyennes ou citoyens suisses (cf. Directives LEI, ch. 4.7.2.1). Les autres cas de figure sont soumis à un examen des conditions relatives au marché du travail selon l’art. 19 LEI. Aux termes de cette disposition,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aa) De nature potestative ( Kann-Vorschrift ), l'art. 19 LEI ne confère aucun droit à l'étranger de se voir délivrer une autorisation de prise d’emploi en qualité d’indépendant. Les autorités ont dans cette mesure un large pouvoir d’appréciation (cf. Peter Uebersax, in : Code annoté de droit des migrations, vol. II, Nguyen/Amarelle [édit.], Berne 2017, n. 3 ad art. 19 LEI avec renvoi à n. 10 ad art. 18 LEI; Marc Spescha, in : Migrationsrecht, Kommentar, Spescha/Zünd/Bolzli/Hruschka/de Weck [édit.], 5 ème éd., Zurich 2019, n. 2 ad Vorbemerkungen zu Art. 18-26 AIG). Ainsi, la Cour n'intervient que si cette appréciation est abusive ou excessive (arrêts CDAP PE.2018.0087 du 19 novembre 2018; PE.2015.0335 du 30 novembre 2015).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(ce nombre est de 112 pour le canton de Vaud en 2024).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bb) La notion d'" intérêts économiques du pays " est formulée de façon ouverte; elle concerne au premier chef le domaine du marché du travail (cf. Message du Conseil fédéral du 8 mars 2002 concernant la loi sur les étrangers, FF 2002 3469, p. 3485 et 3536). D'après les Directives du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(ch. 4.7.2.1; cf. ég. arrêt du Tribunal administratif fédéral [TAF] C-4160/2013 du 29 septembre 2014 consid. 5.3).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op. cit., n. 11 ad art. 19 aLEtr; Spescha, op. cit., n. 1 ad art. 19 LEI; cf. également arrêts CDAP PE.2021.0070 du 8 avril 2022 consid. 3a/cc; PE.2017.0493 du 13 juillet 2018 consid. 5a; PE.2017.0450 du 5 mars 2018 consid. 4a). Dans le cas des start-up notamment, la capacité d’innovation et la mise en pratique des enseignements tirés de la recherche universitaire peuvent également être prises en compte dans l’appréciation de l’intérêt économique du pays (Directives LEI, ch. 4.7.2.1).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de même que les engagements financiers de la part d’investisseurs externes sont également à indiquer. L’acte constitutif de l’entreprise et/ou extrait du registre du commerce doit être joint étant précisé que dans le cas des start-up dont il est établi qu’elles font partie d’un programme d’encouragement cantonal ou fédéral, l’acte constitutif de l’entreprise et/ou l’extrait du registre du commerce peuvent aussi être remis à l’autorité cantonale compétente ultérieurement dans un délai de trois mois (Directives LEI, ch. 4.7.2.3; voir aussi ch. 4.8.12 relatif aux annexes à joindre à la demande). cc)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LEI; cf. arrêts du TAF C-2485/2011 du 11 avril 2013 et C-6135/2008 du 11 août 2011).</w:t>
      </w:r>
    </w:p>
    <w:p>
      <w:r>
        <w:rPr>
          <w:b/>
        </w:rPr>
        <w:t>E. 4</w:t>
      </w:r>
    </w:p>
    <w:p>
      <w:r>
        <w:t>En l’occurrence, le recourant, ressortissant d’un Etat tiers, n’étant pas titulaire d’une autorisation d’établissement, c’est à juste titre que l’autorité intimée a examiné sa demande à l’aune de l’art. 19 LEI. Or, elle a retenu, à l’appui de sa décision négative, que l'activité envisagée ne revêtait aucun intérêt économique important pour le canton de Vaud et plus généralement pour la Suisse. Il y a lieu de rappeler sur ce point que la délivrance de l'autorisation requise repose sur le pouvoir d'appréciation de l'autorité du marché du travail; ainsi, l'autorité de céans n'intervient que si cette appréciation est abusive ou excessive, ce que soutient en l’espèce le recourant. a) Au moment de la demande, le recourant séjournait en Suisse au bénéfice d’une autorisation de séjour pour études, prolongée. Or, même si les étudiants peuvent rester six mois en Suisse pour y chercher un emploi après avoir terminé leur formation et peuvent, dans certaines conditions, s’agissant des étudiants diplômés d’une université ou d’une haute école suisse, avoir un accès facilité au marché du travail, le séjour effectué en vue d’une formation ou d’une formation continue demeure un séjour temporaire (cf. art. 21 al. 3 LEI; v. ég. Directives LEI, ch. 5.1.1.1). En l’occurrence, le but du séjour du recourant en Suisse était atteint, puisqu’en mars 2022, il a obtenu son diplôme auprès de la ZHAW. Dès lors, le recourant était tenu de requérir la délivrance d’une nouvelle autorisation afin de poursuivre son séjour en Suisse, le but de celui-ci ayant changé (cf. art. 54 OASA). b) Le recourant projette d’entreprendre une activité indépendante consistant à commercialiser et appliquer depuis la Suisse un design industriel, protégé, d'une bouteille d'alcool en verre, dont il est l’auteur et sur laquelle il détient les droits, enregistrés en République Tchèque. La décision attaquée retient tout d’abord que la start-up que le recourant voudrait mettre sur pied ne fabriquera aucun produit et ne produira pas elle-même les bouteilles; elle proposera uniquement la vente du design, des licences et des propriétés intellectuelles du produit. Le recourant ne conteste pas ce qui précède; il relève simplement que la commercialisation prévue serait susceptible de générer d’importants bénéfices. Il n’est pas démontré cependant que cette activité, comme l’a indiqué l’autorité intimée, puisse générer de nouveaux mandats pour l'économie suisse, dans la mesure où elle se limitera dans les faits à la vente de licences. Sur ce point, le recourant fait sans doute valoir que l’exploitation de propriétés intellectuelles permet la perception de redevances sur une période de vingt ans. Or, outre le fait que cette affirmation est bien trop vague et trop générale pour être prise en considération, elle ne permet pas d’ébranler la constatation de l’autorité intimée selon laquelle on ne voit pas que l’activité envisagée puisse créer une relation d'affaires concrète et dans la durée avec des entreprises suisses. En effet, le recourant ne fait état d’aucune information sur sa collaboration avec le partenariat local. Du reste, le fait que le recourant ait créé son concept en Tchéquie, où il détient des propriétés intellectuelles pour son produit, fait sérieusement douter de l’ancrage de son entreprise en Suisse. Pour le reste, le business plan dont se prévaut le recourant contient pour l’essentiel des explications théoriques et générales sur les perspectives qu’il envisage pour cette activité; il se limite à indiquer qu’un recours à un financement participatif sera nécessaire, mais ne contient en revanche aucune information sur les investissements auxquels lui-même doit nécessairement consentir pour que ces perspectives se réalisent. Enfin et c’est là l’essentiel, il n’est pas démontré que cette start-up puisse créer des emplois pour la main-d'œuvre locale, à brève échéance à tout le moins. Sur ce point également, les explications du recourant sont trop vagues pour qu’il puisse en être tenu compte. c) Pour le surplus, le recourant ne remplit pas non plus les conditions de l’art. 23 al. 1 LEI, qui concerne les cadres, spécialistes et autres travailleurs qualifiés. Ces conditions visent les qualifications personnelles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(cf. Directives LEI, ch. 4.3.5). De même, il ne remplit pas non plus celles permettant, selon l’art. 23 al. 3 LEI, de déroger à l’exigence de qualifications personnelles. Il n’occupe aucune des fonctions mentionnées à l’art. 23 al. 3 let. a, b, d et e LEI. Quant à l’art. 23 al. 3 let. c LEI, s’il concerne les travailleurs moins qualifiés mais qui disposent de connaissances et de capacités spécialisées indispensables à l’accomplissement de certaines activités, il doit toutefois s’agir d’activités ne pouvant pas, ou alors de manière insuffisante, être exécutées par un travailleur indigène ou un ressortissant d’un Etat membre de l’UE ou de l’AELE (cf. arrêt du TAF C-5420/2012 du 15 janvier 2014 consid. 8.3; cf. également arrêts PE.2017.0260 du 22 janvier 2018 consid. 4a; PE.2017.0118 du 13 juin 2017 consid. 2b; PE.2016.0285 du 28 décembre 2016 consid. 5a). Or, ce n’est manifestement pas le cas d’un titulaire d’un Master en finances. d) Dans ces circonstances, la décision de l’autorité intimée de ne pas octroyer au recourant d’autorisation pour exercer une activité en qualité d’indépendant, en puisant dans les unités réduites à disposition du canton de Vaud, ne résulte pas d’un abus de son pouvoir d’appréciation.</w:t>
      </w:r>
    </w:p>
    <w:p>
      <w:r>
        <w:rPr>
          <w:b/>
        </w:rPr>
        <w:t>E. 5</w:t>
      </w:r>
    </w:p>
    <w:p>
      <w:r>
        <w:t>Les considérants qui précèdent conduisent au rejet du recours et à la confirmation de la décision attaquée.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