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PE.2023.0053 vom 3. Oktober 2023</w:t>
      </w:r>
    </w:p>
    <w:p>
      <w:r>
        <w:t>VD Tribunal cantonal, 2023-10-03, FR</w:t>
      </w:r>
    </w:p>
    <w:p>
      <w:r>
        <w:rPr>
          <w:b/>
        </w:rPr>
        <w:t xml:space="preserve">Quelle: </w:t>
      </w:r>
      <w:r>
        <w:t>https://mcp.opencaselaw.ch/entscheid/vd_omni_PE.2023.0053</w:t>
      </w:r>
    </w:p>
    <w:p>
      <w:r>
        <w:t>FR: VD_OMNI PE.2023.0053 du 3 octobre 2023</w:t>
      </w:r>
    </w:p>
    <w:p>
      <w:r>
        <w:t>IT: VD_OMNI PE.2023.0053 del 3 ottobre 2023</w:t>
      </w:r>
    </w:p>
    <w:p>
      <w:pPr>
        <w:pStyle w:val="Heading2"/>
      </w:pPr>
      <w:r>
        <w:t>Regeste</w:t>
      </w:r>
    </w:p>
    <w:p>
      <w:r>
        <w:t>A.________/Service de la population (SPOP) | Confirmation de la décision rendue sur opposition, refusant d'octroyer une autorisation de séjour à la recourante pour cas individuel d'une extrême gravité. La recourante est arrivée en Suisse en mai 2018 munie d'un visa touristique et n'a plus quitté le pays. Un séjour illégal n'est pas un élément constitutif d'un cas personnel d'extrême gravité. La recourante ne devrait pas rencontrer de difficultés insurmontables pour se réintégrer dans son pays d'origine, où vivent sa fille et sa mère, et compte tenu du fait qu'elle est au bénéfice d'une formation d'infirmière acquise dans son pays d'origine, complétée par une formation d'aide-infirmière acquise en Suisse. Quant aux problèmes médicaux dont elle souffre, ceux-ci ne sont pas de nature à mettre concrètement et sérieusement en danger sa vie. Pas de risque de mariage forcé en l'espèce, le fait de devoir rembourser une dette dont elle admet être débitrice ne constitue pas un obstacle au renvoi, qui est donc licite et raisonnablement exigible.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Cette décision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(art. 95, 96 al. 1 let. b ainsi que 75 et 79 applicables par renvoi de l'art. 99 LPA-VD), de sorte qu'il y a lieu d'entrer en matière sur le fond.</w:t>
      </w:r>
    </w:p>
    <w:p>
      <w:r>
        <w:rPr>
          <w:b/>
        </w:rPr>
        <w:t>E. 2</w:t>
      </w:r>
    </w:p>
    <w:p>
      <w:r>
        <w:t>Dans un grief qu’il convient d’examiner en premier lieu, la recourante invoque une violation de son droit d'être entendue garanti par l’art. 29 al. 2 de la Constitution fédérale de la Confédération suisse du 18 avril 1999 (Cst.; RS 101), en raison de la motivation insuffisante de la décision attaquée. a) D’après l'art. 42 al. 1 LPA-VD, la décision contient notamment l'indication des faits, des règles juridiques et des motifs sur lesquels elle s'appuie (let. c). Le droit d’être entendu, garanti par l'art. 29 al. 2 Cst., implique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elle peut se limiter à ceux qui, sans arbitraire, lui paraissent pertinents (ATF 142 I 135 consid. 2.1; 138 I 232 consid. 5.1; 136 I 184 consid. 2.2.1).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l’espèce, on ne saurait convenir avec la recourante que la motivation de la décision attaquée serait sommaire, d’autant moins que celle-ci a été rendue dans le cadre d’une procédure de réclamation (art. 43 al. 3 LPA-VD a contrario). Ce grief doit dès lors être rejeté.</w:t>
      </w:r>
    </w:p>
    <w:p>
      <w:r>
        <w:rPr>
          <w:b/>
        </w:rPr>
        <w:t>E. 3</w:t>
      </w:r>
    </w:p>
    <w:p>
      <w:r>
        <w:t>La décision attaquée nie que la recourante se trouve dans une situation de détresse personnelle justifiant qu'il soit dérogé aux conditions d'admission en Suisse.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l'art. 2 al. 1 de la LEI, celle-ci s'applique aux étrangers dans la mesure où leur statut juridique n'est pas réglé par d'autres dispositions du droit fédéral ou par des traités internationaux conclus par la Suisse. En l’espèce, la recourante est ressortissante du Cameroun, soit d’un Etat tiers, elle ne peut donc pas se prévaloir d’un accord d’établissement entre son pays d’origine et la Suisse, de sorte qu’il convient d’examiner son recours au regard de la LEI et de ses ordonnances d’application , ainsi qu’en vertu des garanties conférées par la Constitution ou le droit international. b) Selon l'art. 30 al. 1 let. b LEI, il est possible de déroger aux conditions d'admission (art. 18 à 29 LEI) dans le but notamment de tenir compte des cas individuels d'une extrême gravité. L'art. 31 al. 1 de l'ordonnance du 24 octobre 2007 relative à l'admission, au séjour et à l'exercice d'une activité lucrative (OASA; RS 142.201) complète, selon son titre marginal, cette disposition légale; il est formulé ainsi: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dispose que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De jurisprudence constante,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(arrêts CDAP PE.2022.0021 du 2 novembre 2022 consid. 2a; PE.2022.0063 du 27 septembre 2022 consid. 2a; PE.2020.0230 du 17 juin 2021 consid. 3a et les références citées).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TF 2C_861/2015 du 11 février 2016 consid. 4.2).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TAF F-6510/2017 du 6 juin 2019 consid. 6.1 et F-4305/2016 du 21 août 2017 consid. 5.3). Pour juger de l'état de santé des personnes concernées, on peut se référer à des rapports médicaux, des certificats médicaux, des rapports émanant de centres de soins, de services sociaux ou encore à des rapports établis par la Section Analyses du SEM (Directives LEI , ch. 5.6.10.5).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En tout état de cause, compte tenu de la formulation potestative des art. 30 al. 1 let. b LEI et 31 OASA, l'autorité dispose d'un important pouvoir d'appréciation dans l'octroi d'une autorisation de séjour pour cas individuel d'extrême gravité. c) aa) En l’espèce, la recourante est arrivée en Suisse le 31 mai 2018, munie d’un visa touristique valable jusqu’au 11 juin 2018, et n’est plus repartie. Or, ce séjour d’un peu plus de cinq ans l’a été dans l’illégalité, sanctionné par deux condamnations pénales, de même que son activité lucrative, ce qui implique qu’il ne constitue pas un élément militant en faveur de la reconnaissance d’un cas de rigueur. Ce constat révèle en outre que la recourante, pourtant consciente qu'elle ne pouvait séjourner et travailler en Suisse sans autorisation, a persisté à contrevenir à l'ordre juridique suisse en demeurant sur le sol helvétique pour y travailler sans avoir requis ou bénéficié des autorisations idoines. Le Tribunal ne doute pas des qualités sociales et professionnelles de la recourante, attestées par des courriers de soutien versés au dossier, et constate qu'elle ne fait pas l'objet de poursuites. Si ces éléments sont louables et démontrent que la recourante s'est efforcée de s'intégrer dans notre pays, ils correspondent néanmoins à la conduite que l'on peut légitimement attendre de toute personne qui vit en Suisse. Il est en outre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(TAF F-6193/2019 du 26 avril 2021 consid. 6.7 et les réf. citées). En d'autres termes, ils ne permettent pas de conclure que l'intégration de la recourante serait particulièrement poussée, ni qu'elle entretiendrait des liens à ce point étroits avec la Suisse que son renvoi l'exposerait à une situation excessivement rigoureuse. bb) Du point de vue personnel et familial, la recourante, âgée de 38 ans, est célibataire et mère d’une fille, qui vit au Cameroun; sa mère réside également au Cameroun. La recourante dispose dès lors d’attaches familiales importantes et étroites dans son pays d'origine, susceptibles de faciliter sa réintégration sociale. Il en résulte que, contrairement à ses allégations, elle sera manifestement en mesure de se réintégrer dans son pays d'origine, qu’elle a quitté il y a un peu plus de cinq ans, et disposera, dans l'éventualité où elle y rencontrerait certaines difficultés, des moyens nécessaires pour les surmonter. Par ailleurs, le seul fait qu'elle parvienne par son emploi en Suisse – exercé sans autorisation – à rembourser le montant de sa prétendue dette ne saurait justifier la délivrance d’une autorisation de séjour. La recourante étant au bénéfice d’une formation d’infirmière acquise dans son pays d’origine, complétée par une formation d’aide-infirmière acquise en Suisse auprès d’un établissement médico-social, et d’une expérience professionnelle, elle dispose dès lors de compétences nécessaires pour trouver un emploi au Cameroun. Dans ces conditions, la réintégration de la recourante dans son pays d'origine n'apparaît pas insurmontable, étant rappelé que selon la jurisprudence, le seul fait que les conditions de vie usuelles dans le pays d'origine soient moins avantageuses que celles prévalant en Suisse ne saurait être considéré comme déterminant sous l'angle de la reconnaissance d'un cas de rigueur (TF 2C_754/2018 du 28 janvier 2019 consid. 6.3). cc) La recourante a produit plusieurs documents médicaux concernant son état de santé. Il ressort de ceux-ci qu’elle souffre d’une pathologie gynécologique (polypes intra-utérins et myomes) ainsi que de troubles psychiques. En mai 2022, la recourante a subi une première intervention chirurgicale gynécologique. En raison de la persistance de douleurs abdominales et de saignements utérins importants, le certificat médical du 21 mars 2023 produit par cette dernière indique qu'une deuxième opération semble être préconisée, sans que l'on puisse déterminer si elle est intervenue ou pas. En outre, en février 2023, à réception de la décision du SPOP, l’état de santé psychique de la recourante s’est péjoré et elle a été hospitalisée du 20 au 24 février 2023, pour une mise à l’abri d’un geste auto-agressif suite à l’apparition d’idées suicidaires multi-scénarisées (cf. rapports médicaux des 21 mars 2023 et 29 mars 2023). Ces pathologies ont nécessité la mise en place d’un suivi psychiatrique-psychothérapeutique (cf. rapport médical du 29 mars 2023). Une évolution favorable a été constatée grâce à l’hospitalisation et au suivi susmentionné, la recourante présentant encore un abaissement de l’humeur avec des troubles anxieux, des troubles du sommeil ainsi que des troubles du focus de l’attention et de la concentration. Sans minimiser les difficultés et les souffrances incontestablement vécues par la recourante, il ressort des rapports médicaux produits et les explications fournies par cette dernière, que lesdits troubles sont directement liés à sa situation administrative et sociale, en particulier aux angoisses que celle-ci a occasionnées. Or, selon la jurisprudence, on ne saurait, de manière générale, prolonger indéfiniment le séjour d'un étranger en Suisse au seul motif que la perspective d'un retour exacerberait un état psychologique perturbé. De telles réactions sont en effet couramment observées chez les personnes confrontées à l'imminence d'un renvoi ou devant faire face à l'incertitude de leur statut en Suisse (TAF E-6321/2018 du 19 novembre 2018; E-2812/2016 du 13 février 2018 consid. 5.5.6; D-5886/2016 du 20 novembre 2017 consid. 8.5.1; CDAP PE.2017.0163 du 8 novembre 2017 consid. 4d/bb et les références). Il ressort du certificat médical du 21 mars 2023 que la recourante suit un traitement à base d’anxiolytiques. Les antidépresseurs étant disponibles au Cameroun (TAF E-1474/2021 du 20 juillet 2022 consid. 6.2.2; E-3050/2014 du 1 er février 2018 consid. 7.7.3), le Tribunal considère dès lors qu’elle pourra poursuivre son traitement dans son pays d’origine. Il est vrai que le Cameroun ne dispose pas d’un système d’assurance maladie universelle couvrant les frais médicaux, de sorte que la prise en charge financière du traitement incombe aux patients et à leur famille. Cela étant, la recourante est, comme on l’a vu, au bénéfice d'une formation et d'une expérience professionnelle ; partant il y a lieu de considérer qu'elle sera à même de reprendre une activité lucrative à son retour dans son pays qui lui permettra notamment de financer son traitement. Enfin, il sera possible à la recourante, pour autant qu’elle en remplisse les conditions, de solliciter l'appui du bureau vaudois de Conseil en vue du retour (CVR) et d'emporter avec elle une réserve de médicaments pour l'aider à surmonter la période entre son arrivée au Cameroun et sa réinsertion effective dans ce pays (CDAP PE.2018.0426 du 27 juin 2019 consid. 3d et les références). La recourante n'a donc pas démontré qu'elle souffrirait de problèmes de santé d'une gravité telle que le fait de demeurer dans son pays d'origine serait de manière certaine de nature à mettre concrètement et sérieusement en danger sa vie ou sa santé à brève échéance, voire que son état nécessiterait impérativement des traitements médicaux ne pouvant être suivis qu'en Suisse. Partant, les affections dont souffre la recourante ne sauraient justifier à elles seules une dérogation aux conditions d'admission pour cas individuel d’une extrême gravité. d) En définitive, au regard de l'ensemble des circonstances du cas d'espèce, il convient de retenir que l'autorité intimée n'a pas excédé ni abusé de son pouvoir d'appréciation en considérant que la situation personnelle de la recourante ne justifie pas qu’il soit exceptionnellement dérogé aux conditions d’admission (art. 30 al. 1 let. b LEI et art. 31 OASA).</w:t>
      </w:r>
    </w:p>
    <w:p>
      <w:r>
        <w:rPr>
          <w:b/>
        </w:rPr>
        <w:t>E. 4</w:t>
      </w:r>
    </w:p>
    <w:p>
      <w:r>
        <w:t>La recourante fait également valoir que son renvoi ne serait pas licite ou pas exigible compte tenu du fait qu’elle serait contrainte d’épouser un homme plus âgé, qui aurait financé ses études d’infirmière et qu’elle aurait spolié à hauteur de 20'000 fr. Elle prétend avoir refusé d’épouser cet homme avec lequel son oncle souhaitait la marier et être partie avec l’argent de la dot avant que l’union ne soit célébrée par les deux familles. Si elle s’oppose à ce mariage, elle serait contrainte de rembourser l’intégralité de la somme précitée alors qu’elle n’en a pas les moyens. La recourante requiert d’être mise au bénéfice d’une admission provisoire. a) L’art. 83 al. 3 LEI trouve application lorsque le renvoi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(TAF C-498/2011 du 27 janvier 2011 consid. 4.2 et les références citées; arrêt PE.2013.0377 du 23 avril 2015).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Cette dernière hypothèse vise généralement celle où l’étranger malade allègue que le renvoi mettrait sa vie en péril (arrêts PE.2013.0078 du 9 décembre 2013, consid. 3; PE.2010.0346 du 29 mars 2011 consid. 6; PE.2010.0506 du 21 octobre 2010 consid. 2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(TAF E-3657/2014 du 20 octobre 2014; ATAF E-8787/2010 du 24 janvier 2011, ainsi que les références citées). b) En l’occurrence, on ne retire nullement des explications de la recourante que son renvoi vers son pays d’origine serait illicite ou pas raisonnablement exigible au sens de l’art. 83 al. 3 et 4 LEI. En effet, les faits qu’elle invoque, à savoir un mariage forcé et des menaces de la part de son ex-fiancé, ne sont pas suffisamment étayés. S’il est vrai que les mariages précoces et forcés semblent être très répandus au Cameroun, où 11.4% des jeunes Camerounaises seraient unies à un homme avant leur 15 ème anniversaire selon une enquête réalisée en 2014 par l’Institut national de la statistique et le ministère de la santé publique (cf. https://www.lemonde.fr/afrique/article/2018/11/20/cameroun-mariee-de-force-a-14-ans-je-me-bats-aujourd-hui-pour-les-droits-des-enfants_5385991_3212.html , consulté le 29 août 2023), il apparaît que la recourante est désormais âgée de 38 ans et au bénéfice d’une formation ainsi que d’une expérience professionnelle, de sorte qu’elle n’entre plus dans la catégorie dite ʺà risqueʺ. A l’appui de ses allégations, la recourante a certes produit une reconnaissance de dette ainsi que des copies des remboursements qu’elle aurait effectués à l’égard de son fiancé éconduit, or ces pièces attestent de l'existence d'une dette et non des menaces à son encontre ou à l’égard de sa mère et de sa fille; les prétendus dégâts causés au mobilier de sa mère ne sauraient également être pris en considération, dans la mesure où ils semblent davantage être liés aux tentatives éventuellement excessives du créancier pour obtenir le remboursement de sa dette qu’à une contrainte en exécution du mariage. La recourante conserve en outre la possibilité de contester sa dette, si elle devait être indue, auprès des autorités locales compétentes. Par conséquent, aucun élément au dossier ne permet de retenir que la recourante serait exposée à un grave danger dans son pays d’origine, où vivent sa fille et sa mère. Au demeurant, le seul fait qu’elle ferait l’objet de menaces de la part de son ex-fiancé en cas de retour au Cameroun n’est de toute façon pas déterminant puisque dans une situation de ce genre, il appartient en effet aux autorités compétentes du pays d’origine d’assurer la protection de leurs ressortissants. Enfin, comme on l’a vu au consid. 2 c cc supra, il n’apparaît pas qu’en cas de retour dans son pays d’origine la recourante courrait un risque plus élevé pour sa santé que ses compatriotes demeurés au pays. Par conséquent, l’autorité intimée n’a pas abusé de son pouvoir d’appréciation en estimant que le renvoi de la recourante dans son pays d’origine était licite et raisonnablement exigible.</w:t>
      </w:r>
    </w:p>
    <w:p>
      <w:r>
        <w:rPr>
          <w:b/>
        </w:rPr>
        <w:t>E. 5</w:t>
      </w:r>
    </w:p>
    <w:p>
      <w:r>
        <w:t>Par souci d’exhaustivité, on ajoutera que la recourante ne peut se prévaloir du droit au respect de la vie privée et de la vie de famille garanti par l'art. 8 de la Convention de sauvegarde des droits de l’homme et des libertés fondamentales du 4 novembre 1950 (CEDH; RS 0.101) pour s’opposer à son renvoi. a) Sous l'angle étroit de la protection de la vie privée, l'art. 8 par. 1 CEDH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TF 2C_170/2017 du 15 février 2017 consid. 3.1; 2C_142/2015 du 13 février 2015 consid. 3.2). Dans l'ATF 144 I 266, le Tribunal fédéral a précisé et structuré sa jurisprudence relative au droit à une autorisation de séjour fondée sur l'art. 8 CEDH. Il a rappelé que ce droit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précité).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(ATF 134 II</w:t>
      </w:r>
    </w:p>
    <w:p>
      <w:r>
        <w:rPr>
          <w:b/>
        </w:rPr>
        <w:t>E. 10</w:t>
      </w:r>
    </w:p>
    <w:p>
      <w:r>
        <w:t>consid. 4.3; 130 II 281 consid. 3.3). b) En l’espèce, on ne saurait admettre que la recourante, qui résidait en Suisse depuis presque cinq ans lorsque la décision litigieuse a été rendue, puisse se prévaloir de l’art. 8 CEDH au titre de la protection de la vie privée, dès lors, comme exposé ci-dessus (cf. consid. 2 c bb), qu’elle ne peut faire état d’une intégration professionnelle ou sociale au-dessus de la moyenne. L'autorité intimée n’a par conséquent pas violé la garantie de la vie privée découlant de l’art. 8 CEDH en refusant de prolonger l’autorisation de séjour de la recourante. 6. Les considérants qui précèdent conduisent au rejet du recours et à la confirmation de la décision attaquée. Le SPOP fixera à la recourante un nouveau délai de départ approprié (cf. art. 64d LEI; TF 2C_815/2018 du 24 avril 2019 consid. 5.4 et 5.5; 2C_631/2018 du 4 avril 2019 consid. 6). Vu l'issue du recours, un émolument judiciaire devrait être mis à la charge de la recourante, qui succombe (cf. art. 49 al. 1, 91 et 99 LPA-VD). Au vu des circonstances, toutefois, les frais seront laissés à la charge de l’Etat (cf.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