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PE.2023.0035 vom 16. April 2024</w:t>
      </w:r>
    </w:p>
    <w:p>
      <w:r>
        <w:t>VD Tribunal cantonal, 2024-04-16, FR</w:t>
      </w:r>
    </w:p>
    <w:p>
      <w:r>
        <w:rPr>
          <w:b/>
        </w:rPr>
        <w:t xml:space="preserve">Quelle: </w:t>
      </w:r>
      <w:r>
        <w:t>https://mcp.opencaselaw.ch/entscheid/vd_omni_PE.2023.0035</w:t>
      </w:r>
    </w:p>
    <w:p>
      <w:r>
        <w:t>FR: VD_OMNI PE.2023.0035 du 16 avril 2024</w:t>
      </w:r>
    </w:p>
    <w:p>
      <w:r>
        <w:t>IT: VD_OMNI PE.2023.0035 del 16 aprile 2024</w:t>
      </w:r>
    </w:p>
    <w:p>
      <w:pPr>
        <w:pStyle w:val="Heading2"/>
      </w:pPr>
      <w:r>
        <w:t>Regeste</w:t>
      </w:r>
    </w:p>
    <w:p>
      <w:r>
        <w:t>A.________/Service de la population (SPOP) | Admission du recours d'une ressortissante indienne contre le refus du SPOP de délivrer une autorisation de séjour en sa faveur et le prononcé de son renvoi. Agée de septante ans, la recourante, qui vit chez son fils, présente suffisamment de garanties entre sa propre fortune, ses propres revenus et les attestations qui figurent au dossier pour que l'on puisse pratiquement exclure le risque qu’elle en vienne à dépendre de l'assistance publique à l’avenir. En outre, elle a tissé avec la Suisse des liens socioculturels propres qui vont au-delà du cercle familial. Dès lors, elle remplit les conditions d’une admission d’un étranger sans activité lucrative. Renvoi au SPOP pour approbation du SEM.</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la destinataire de la décision attaquée, le recours satisfait pour le surplus aux exigences formelles prévues par la loi, de sorte qu'il y a lieu d'entrer en matière sur le fond (art. 95, ainsi que 75, 79 et 99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indienne, la recourante ne peut invoquer aucun traité en sa faveur. b) La recourante vit chez son fils B.________; or, ce dernier possède à la fois les nationalités suisse et française. En tant que membre de la famille d'un ressortissant communautaire établi en Suisse, la recourante serait en principe habilitée à invoquer l’art. 7 let. d de l'accord du 21 juin 1999 entre la Confédération suisse, d'une part, et la Communauté européenne et ses Etats membres, d'autre part, sur la libre circulation des personnes (ALCP; RS 0.142.112.681). En effet, aux termes de l' art. 3 par. 1 annexe I ALCP, les membres de la famille d'une personne ressortissant d'une partie contractante ayant un droit de séjour ont le droit de s'installer avec elle. Cela vaut notamment, à certaines conditions, pour ses ascendants et ceux de son conjoint qui sont à sa charge, quelle que soit leur nationalité (art. 3 par. 2 let. b annexe I ALCP). Le Tribunal fédéral a cependant jugé que, pour pouvoir se prévaloir d'un droit de séjour dérivé découlant de l'ALCP, le ressortissant d'un Etat tiers doit avoir créé une vie de famille avec la personne de référence, ou à tout le moins l'avoir consolidée, dans l'Etat d'accueil, avant le retour de celle-ci dans son Etat d'origine. En revanche, lorsque les liens familiaux en question ont pris naissance ou se sont consolidés seulement après ce retour, on est en présence - du point de vue du regroupement familial - d'une situation purement interne, à laquelle l'ALCP ne saurait s'appliquer (ATF 143 II 57 consid. 3s. p. 59s., not. 3.8.2 p. 63, références citées). Il ressort du dossier que B.________ est entré en Suisse en 2007; il est probable, même si on l’ignore, qu’il ait vécu jusqu’alors aux côtés de la recourante en Inde. Quoi qu’il en soit, B.________ a, comme on l’a vu, acquis la nationalité suisse en 2023. Dans une situation de ce genre, la recourante est d’autant moins fondée à se prévaloir de l’art. 3 par. 1 et 2 let. b annexe I ALCP qu’une naturalisation fait obstacle à l’application de l’ALCP lorsque la vie de famille a déjà été créée, comme en l’espèce, dans le précédent Etat de séjour (cf. Astrid Epiney, Doppelbürgerschaft und Familiennachzug: zum Anwendungsbereich des FZA, in : AJP/PJA 2017 p. 752s., not. 763). La recourante ne peut donc invoquer un droit dérivé au titre de la libre circulation des personnes . c) Ainsi, le recours s'examine uniquement au regard du droit interne, soit la loi fédérale du 16 décembre 2005 sur les étrangers et l’intégration (LEI; RS 142.20) et ses ordonnances d’application.</w:t>
      </w:r>
    </w:p>
    <w:p>
      <w:r>
        <w:rPr>
          <w:b/>
        </w:rPr>
        <w:t>E. 3</w:t>
      </w:r>
    </w:p>
    <w:p>
      <w:r>
        <w:t>La recourante a conclu, à titre subsidiaire, à être mise au bénéfice d’une admission provisoire au sens de l’art. 83 al. 1 de la loi fédérale du 16 décembre 2005 sur les étrangers et l’intégration (LEI; RS 142.20), ce qui sous-entendrait, quoi qu’elle ne l’indique pas, que son renvoi ne serait pas licite (ibid., al. 3). L’art. 79 al. 2 1 ère phr. LPA-VD ne permet toutefois pas au recourant de prendre des conclusions qui sortent du cadre fixé par la décision attaquée (cf. en outre sur ce point, Pierre Moor/Etienne Poltier, Droit administratif, vol. II, 3 e éd., Berne 2011, ch. 5.8.1.4 et 5.8.4.2). Or, la décision attaquée ne se prononce pas sur le point de savoir si une admission provisoire doit être proposée à l’autorité fédérale compétente (cf. art. 83 al. 6 LEI), l’autorité intimée n’ayant jamais été saisie d’une demande en ce sens. La recourante ne peut par conséquent pas prendre des conclusions, ni formuler de griefs allant au-delà de l'objet du litige. Cette conclusion est dès lors irrecevable, dans la mesure où elle est exorbitante de l'objet du litige.</w:t>
      </w:r>
    </w:p>
    <w:p>
      <w:r>
        <w:rPr>
          <w:b/>
        </w:rPr>
        <w:t>E. 4</w:t>
      </w:r>
    </w:p>
    <w:p>
      <w:r>
        <w:t>La recourante, qui vit chez son fils B.________, conclut à ce qu’une autorisation de séjour au titre du regroupement familial soit délivrée en sa faveur. Or, elle ne peut tirer aucun droit de l’art. 42 LEI, cette disposition ne permettant pas le regroupement familial entre un ressortissant suisse et un ascendant ressortissant d’un Etat tiers, excepté dans l’hypothèse de l’al. 2 qui ne se vérifie pas dans le cas d’espèce.</w:t>
      </w:r>
    </w:p>
    <w:p>
      <w:r>
        <w:rPr>
          <w:b/>
        </w:rPr>
        <w:t>E. 5</w:t>
      </w:r>
    </w:p>
    <w:p>
      <w:r>
        <w:t>La recourante fait valoir que l’autorité intimée aurait abusé de sa liberté d’appréciation en estimant qu’elle ne remplissait pas les conditions d’une admission d’un étranger sans activité lucrative. a) Un étranger qui n'exerce plus d'activité lucrative peut être admis aux conditions suivantes (art. 28 LEI): il a l'âge minimum fixé par le Conseil fédéral (let. a); il a des liens personnels particuliers avec la Suisse (let. b); il dispose des moyens financiers nécessaires (let. c). L'âge minimum pour l'admission des rentiers est de 55 ans (art. 25 al. 1 de l'ordonnance du 24 octobre 2007 relative à l'admission, au séjour et à l'exercice d'une activité lucrative [ OASA; RS 142.201 ] ).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dans la disposition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in: FF 2002 3542-3543, ad art. 28 du projet de loi; cf. en outre, Marc Spescha in : Spescha/Zünd/Bolzli/Hruschka/de Weck, Migrationsrecht, Kommentar, 5 ème éd., Zurich 2019, ad art. 28 LEI, ch. 1, p. 143]). aa)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(cf. Martina Caroni/Lisa Ott, in : Caroni/Gächter/Thurnherr, Bundesgesetz über die Ausländerinnen und Ausländer [AuG], Berne 2010, n. 10 ad art. 28, p. 214). Selon une jurisprudence bien établie du Tribunal administratif fédéral (TAF), s'agissant d'un rentier se prévalant de liens personnels particuliers avec la Suisse au sens de l'art. 28 let. b LEI, la simple présence de proches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(arrêt TAF F-2207/2018 du 15 février 2019 consid. 6.6; v. également arrêt TAF C-4356/2014 du 21 décembre 2015 consid. 4.4.4 et les réf. citées, voir également le consid. 4.4.8). Dans la mesure où l'étranger rentier entend s'installer en Suisse et y transférer le centre de ses intérêts, il peut être exigé de lui que son horizon socioculturel ne se limite pas à son entourage familial direct (arrêt TAF C-5126/2011 du 24 janvier 2013 consid. 9.2). Une telle jurisprudence ne permet toutefois pas d'exiger des rentiers bénéficiant de la lettre b de l'art. 25 al. 2 OASA (i.e. ayant des relations étroites avec des parents proches en Suisse) d’avoir avec la Suisse un lien propre aussi étroit que celui que l'on peut exiger des rentiers se prévalant exclusivement de la lettre a de la disposition (i.e. pouvant prouver qu'ils ont effectué dans le passé des séjours assez longs en Suisse), sans quoi la lettre b perdrait sa portée (cf. arrêt CDAP PE.2020.0188 du 8 mars 2021 consid. 2a et les réf. citées). bb) En outre, un rentier est réputé disposer de moyens financiers nécessaires au sens où l’exige l’art. 28 let. c LEI s'il est quasiment certain d'en bénéficier jusqu'à sa mort (rentes, fortune), au point que l'on puisse pratiquement exclure le risque qu’il en vienne à dépendre de l'assistance publique (arrêt CDAP PE.2020.0188 du 8 mars 2021 consid. 2a; cf. arrêts du TAF C-5631 du 8 janvier 2013 consid. 9.3; C-6310/2009 du 10 décembre 2012 consid. 9.3.1). S'agissant des "rentiers" au sens de l'art. 28 LEI, il y avait lieu d'admettre que les moyens financiers nécessaires peuvent également être fournis par des tiers; il se justifie toutefois de mettre des exigences plus élevées relativement à ces moyens financiers que celles posées par le Tribunal fédéral en rapport avec l'ALCP dans l'ATF 135 II 265 (arrêt TAF C-6310/2009, déjà cité et repris par les directives "Domaine des Etrangers" du SEM [Directives LEI] dans leur état au 1 er septembre 2023 [ch. 5.3]). Les promesses, voire les garanties écrites, visant à garantir la prise en charge du rentier faites  par des membres de sa famille qui résident dans notre pays ne suffisent pas dans tous les cas, dans la mesure où, en pratique, leur mise à exécution reste sujette à caution (Directives LEI, ch. 5.3). Les moyens financiers mis à disposition par des tiers doivent présenter les mêmes garanties que s’il s’agissait des propres ressources du requérant. Une attestation de prise en charge financière – valant reconnaissance de dette irrévocable au sens de l’article 82 de la loi fédérale du 11 avril 1889 sur la poursuite pour dettes et faillite (LP; RS 281.1) – dans laquelle le tiers s'engage à assumer vis-à-vis des autorités publiques compétentes tous les frais de subsistance ainsi que les frais d’accident et de maladie non couverts par une assurance reconnue offre les mêmes garanties que s’il s’agissait des propres ressources des intéressés (cf. arrêts CDAP PE.2019.0077 du 23 octobre 2019, consid. 3c; PE.2010.0030 du 20 août 2010 consid. 3b). A cet égard, moins le ou les rentiers concernés disposeraient de moyens financiers propres, plus les garanties financières provenant de tiers devraient être élevées (cf. arrêts TAF C-6310/2009 précité consid. 9.4; CDAP PE.2019.0077 précité consid. 3c). Il convient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(arrêt TAF C-6310/2009 déjà cité consid. 9.3.3). cc) S'agissant d'une disposition rédigée en la forme potestative ("Kann-Vorschrift" ), même dans l'hypothèse où toutes les conditions prévues à l'art. 28 LEI sont réunies, l'étranger n'a pas un droit à la délivrance (respectivement à la prolongation ou au renouvellement) d'une autorisation de séjour (arrêts TF 2C_256/2023 du 17 mai 2023 consid. 4.2.1; 2C_683/2019 du 8 août 2019 consid. 3; TAF C-6349/2010 du 14 janvier 2013 consid. 8.2.3; C-6310/2009 du 10 décembre 2012 consid. 8.2; C-797/2011 du 14 septembre 2012 consid. 8.2.3).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cf. arrêts TAF C-1156/2012 du 17 février 2014 consid. 4; C-6349/2010 du 14 janvier 2013 consid. 9). b) aa) En la présente espèce, la recourante remplit sans doute la première des trois conditions cumulatives de l’art. 28 LEI, puisqu’elle est entrée dans sa septantième année au moment de la demande (let. a; cf. en outre art. 25 al. 1 OASA). bb) Bien que ce point n’ait pas été abordé dans la décision attaquée, il appert que le séjour de la recourante en Suisse est exclusivement dû à la présence de proches parents, à savoir son fils, voire ses petits-enfants, dont ce dernier n’a cependant pas la garde. Or, la présence de parents proches ne suffit pas à créer à elle seule un lien suffisamment étroit avec ce pays. En effet, c es éléments ne permettent pas de retenir que la recourante aurait développé en Suisse des intérêts socioculturels personnels et indépendants. Toutefois, la recourante se prévaut essentiellement d’entretenir une relation étroite, à tout le moins avec son fils B.________ au sens l’art. 25 al. 2 let. b OASA. Dans ces conditions, a insi qu'on l’a relevé plus haut, on ne saurait exiger d’elle un lien propre avec la Suisse aussi étroit que celui que l'on peut exiger des rentiers se prévalant exclusivement de l'art. 25 al. 2 let. a OASA. A cet égard, elle fait valoir, d ans ses écritures, qu’elle a développé des relations d'amitié durables avec de très nombreuses personnes et de ce qu’elle serait très active dans la communauté indienne vivant en Suisse et auprès du temple hindou local; en outre, elle aurait pris part à des rencontres avec différents professionnels. Du reste, le dossier contient une série d'attestations et de photographies en lien avec les contacts sociaux que la recourante entretient en Suisse. A cela s'ajoutent les fréquents voyages en Suisse de la recourante, avant qu’elle y prenne sa résidence (dans ce même sens CDAP, PE.2020.0188 du 8 mars 2021 consid. 2b). Force est ainsi d’admettre que la recourante a pu développer en Suisse des intérêts qui lui appartiennent. Outre les liens étroits qu'elle entretient avec son fils en Suisse, la recourante a tissé des liens socioculturels propres qui vont au-delà du cercle familial et qui paraissent être de nature à éviter qu'elle ne tombe dans un rapport de dépendance vis-à-vis de ce dernier, voire dans l'isolement. Partant, la recourante remplit la deuxième condition nécessaire à permettre une prise de résidence en faveur des rentiers. cc) La recourante soutient disposer de moyens financiers nécessaires au sens où l’exige l’art. 28 let. c LEI. Dans ses dernières écritures, elle se prévaut de réaliser un revenu mensuel de l’ordre de 900 fr. et détenir une fortune d’environ 103'000 fr.; dans sa réplique, elle faisait état de revenus propres de l’ordre de 1'157 fr.70 par mois. Ce montant provient des intérêts générés par un prêt accordé à l’une de ses belles-filles (soit l’épouse de son fils C.________ ) et un autre prêt accordé à son fils B.________ en 2017 . On rappelle à cet égard qu’à l’heure actuelle, le montant destiné à la couverture des besoins vitaux est évalué à 20’100 fr. par an pour les personnes seules (cf. art. 10 al. 1 let. a ch. 1 de la loi fédérale du 6 octobre 2006 sur les prestations complémentaires à l'AVS et à l'AI [LPC; RS 831.30]), sans compter le loyer (10’140 fr. par an pour une personne menant une vie de couple; cf. art. 10 al. 1 let. b ch. 2 LPC et 16c de l’ordonnance fédérale du 15 janvier 1971 sur les prestations complémentaires à l’AVS et l’AI [OPC-AVS/AI; RS 831.301]). Or, avec un revenu annuel équivalant à 10’800 fr., la recourante se situe en-deçà des montants si l’on considère qu’il s’agit d’une personne seule. Toutefois, cette constatation est nuancée du fait qu’elle dispose d’une fortune propre qui a augmenté depuis son arrivée en Suisse et qui, selon la décision de taxation de l'année 2021, se monterait actuellement à 193'860 francs. A cela s’ajoute que B.________ a signé en faveur de la recourante une attestation de prise en charge, dans laquelle il s'est engagé à assumer vis-à-vis des services sociaux notamment tous les frais de subsistance de cette dernière, ainsi que ses frais d'accident et de maladie non couverts par une assurance reconnue. B.________ est à son compte et ses revenus sont en nette progression depuis l’ouverture de son cabinet en 2019. Il a été taxé en 2021 sur un revenu annuel de 56'500 francs. Il semble ainsi disposer d’un revenu mensuel d’au moins 4'700 francs et paraît actuellement en mesure de faire face aux besoins vitaux du ménage qu’il forme avec sa mère (1’700 fr. par mois, plus le loyer, 2'500 fr. selon les pièces bancaires, et les primes d’assurance-maladie de base; cf. art. 92 de la loi fédérale du 11 avril 1889 sur la poursuite pour dettes et la faillite [LP; RS 281.1]). Quant à D.________, qui a également signé une attestation de prise en charge de la recourante à hauteur de 1'000 fr. par mois, son revenu mensuel est de l’ordre de 5'150 fr. net, peu importe que l’on ignore tout de ses liens avec la recourante et de sa situation de famille. En effet, seul compte le fait que les moyens financiers mis à disposition par des tiers doivent présenter les mêmes garanties que s’il s’agissait des propres ressources du requérant. Une attestation de prise en charge financière – valant reconnaissance de dette irrévocable au sens de l’article 82 LP – dans laquelle le tiers s'engage à assumer vis-à-vis des autorités publiques compétentes tous les frais de subsistance ainsi que les frais d’accident et de maladie non couverts par une assurance reconnue offre les mêmes garanties que s’il s’agissait des propres ressources des intéressés (cf. CDAP PE.2019.0077 déjà cité, consid. 3c; PE.2013.0382 du 16 juin 2014 consid. 2d; PE.2010.0030 du 20 août 2010 consid. 3b). Dans ces conditions, il convient d’admettre que la recourante présente suffisamment de garanties entre sa propre fortune, ses propres revenus et les attestations qui figurent au dossier pour que l'on puisse pratiquement exclure le risque qu’elle en vienne à dépendre de l'assistance publique à l’avenir. c) Au vu de ce qui précède, on retiendra que l’autorité intimée a abusé du pouvoir d’appréciation qui lui est reconnu en la matière en refusant de délivrer une autorisation de séjour fondée sur l'art. 28 LEI. Il est par conséquent inutile d’examiner si, par surcroît, la recourante constitue un cas de rigueur au sens de l’art. 30 al. 1 let. b LEI, comme elle le soutient, ou si la décision attaquée porte atteinte à la protection de sa vie familiale au sens de l’art. 8 par. 1 CEDH, ce qu’elle fait également valoir.</w:t>
      </w:r>
    </w:p>
    <w:p>
      <w:r>
        <w:rPr>
          <w:b/>
        </w:rPr>
        <w:t>E. 6</w:t>
      </w:r>
    </w:p>
    <w:p>
      <w:r>
        <w:t>a) Les considérants qui précèdent conduisent à l'admission du recours et à l'annulation de la décision attaquée, le dossier étant renvoyé à l'autorité intimée afin qu'elle soumette pour approbation au Secrétariat d'Etat aux migrations (SEM) l'octroi des autorisations d'entrée, respectivement de séjour en faveur de la recourante (art. 2 let. c de l’ordonnance du DFJP du 13 août 2015 relative aux autorisations et aux décisions préalables dans le domaine du droit des étrangers soumises à la procédure d’approbation [Ordonnance du DFJP concernant l’approbation [OA-DFJP; RS. 142.201.1]; art. 99 al. 1 et 2 LEI]). La recourante est en outre rendue attentive qu'en vertu de l'art. 99 al. 2 LEI, le SEM n’est pas lié par le présent arrêt. b) Compte tenu de l'issue du litige, le présent arrêt sera rendu sans frais (art. 49 al. 1, 91 et 99 LPA-VD). Obtenant gain de cause avec le concours d'un avocat, la recourante a droit à une indemnité à titre de dépens (art. 55 al. 1, 91 et 99 LPA-VD et 11 du tarif des frais judiciaires et des dépens en matière administrative, du 28 avril 2015 [TFJDA; BLV 173.36.5.1]); cette indemnité sera mise à la charge du Département dont dépend l’autorité intimée (cf. art. 5 de l’arrêté sur la composition des départements et les noms des services de l'administration, du 6 juillet 2022 [BLV 172.215.1.1]).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