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PE.2023.0033 vom 14. September 2023</w:t>
      </w:r>
    </w:p>
    <w:p>
      <w:r>
        <w:t>VD Tribunal cantonal, 2023-09-14, FR</w:t>
      </w:r>
    </w:p>
    <w:p>
      <w:r>
        <w:rPr>
          <w:b/>
        </w:rPr>
        <w:t xml:space="preserve">Quelle: </w:t>
      </w:r>
      <w:r>
        <w:t>https://mcp.opencaselaw.ch/entscheid/vd_omni_PE.2023.0033</w:t>
      </w:r>
    </w:p>
    <w:p>
      <w:r>
        <w:t>FR: VD_OMNI PE.2023.0033 du 14 septembre 2023</w:t>
      </w:r>
    </w:p>
    <w:p>
      <w:r>
        <w:t>IT: VD_OMNI PE.2023.0033 del 14 settembre 2023</w:t>
      </w:r>
    </w:p>
    <w:p>
      <w:pPr>
        <w:pStyle w:val="Heading2"/>
      </w:pPr>
      <w:r>
        <w:t>Regeste</w:t>
      </w:r>
    </w:p>
    <w:p>
      <w:r>
        <w:t>A.________/Département de l'économie, de l'innovation, de l'emploi et, Service de la population (SPOP) | Ressortissant français, né en Suisse et titulaire d'une autorisation d'établissement, le recourant a été condamné en 2022 à peine privative de liberté de vingt-quatre mois avec sursis pour crime contre la LStup notamment et dépend des prestations de l’assistance publique depuis 2012. Dans ces conditions, c’est à bon droit qu’une mesure de rétrogradation, assortie d’une recommandation d’intégration, a été prononcée à son encontre. Rejet du recours et confirmation de la décision attaquée.</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De nationalité française, le recourant peut se prévaloir des droits conférés par l'Accord du 21 juin 1999 entre la Confédération suisse, d'une part, et la Communauté européenne et ses Etats membres, d'autre part, sur la libre circulation des personnes (ALCP; RS 0.142.112.681). Sous réserve des prescriptions applicables en matière d'expulsion pénale, il convient d'appliquer, en matière de fin du séjour, les principes contenus dans la loi fédérale du 16 décembre 2005 sur les étrangers et l’intégration (LEI; RS 142.20) et dans l'ordonnance du 24 octobre 2007 relative à l'admission, au séjour et à l'exercice d'une activité lucrative (OASA; RS 142.201) à moins que les dispositions de l'ALCP ne soient plus favorables que celles de la LEI et de l'OASA.</w:t>
      </w:r>
    </w:p>
    <w:p>
      <w:r>
        <w:rPr>
          <w:b/>
        </w:rPr>
        <w:t>E. 3</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des exigences en matière d'intégration. 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OASA (dans leur version en vigueur depuis le 1 er janvier 2019) concrétisent ces critères. Ainsi, l’art. 77a al. 1 OASA dispose qu’il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L’art. 77e OASA dispose pour sa part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En outre, dans son ancienne teneur, l’alinéa 2 de l’art. 63 LEtr ne permettait pas de révoquer l’autorisation d’établissement d’un étranger qui séjournait en Suisse légalement et sans interruption depuis plus de quinze ans au seul motif d’une dépendance importante et durable à l’aide sociale, de fausses déclarations ou de la dissimulation de faits essentiels. L’abrogation de cette disposition permet désormais de révoquer également l’autorisation d’établissement d’un étranger qui séjourne depuis plus de quinze ans en Suisse s’il dépend durablement et dans une large mesure de l’aide sociale (Secrétariat d’Etat aux migrations [SEM], Directives et commentaires, I. Domaine des étrangers [Directive LEI], état au 1 er septembre 2023, ch. 8.3.2 et 8.3.3.1). aa) Pour interpréter ces critères,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et 8.3.3.1). Sur le plan pénal, des condamnations mineures ne font pas forcément d’emblée obstacle à une intégration réussie; à l'inverse, le fait de ne pas avoir commis d'infractions pénales ne permet pas à lui seul de retenir une intégration réussie (arrêt TF 2C_1053/2021 déjà cité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déjà cité consid. 5.1; 2C_653/2021 déjà cité consid. 4.3.2). bb) La rétrogradation a une portée distincte de la révocation. La rétrogradation vers une autorisation de séjour prévue à l'art. 63 al. 2 LEI fait office de " mesure intermédiaire " (" mildere Massnahme ") lorsqu'un renvoi paraît disproportionné (" unverhältnismässig ") mais qu'un avertissement ne serait pas suffisamment efficace (Marc Spescha, Migrationsrecht Kommentar, 5 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8.3.3.1).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 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déjà cité consid. 4.3; 2C_1053/2021 déjà cité consid. 5.3). Au sujet de la compatibilité de la rétrogradation avec l’expulsion pénale, le Tribunal fédéral a considéré ce qui suit (ATF 148 II 1 précité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précité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précité consid. 4.3.3). cc)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(al. 2): il n’existe aucun motif de révocation au sens des art. 62 ou 63 al. 2 LEI (let. a) et les critères d’intégration définis à l’art. 58a al. 1 LEI sont remplis (let. b).</w:t>
      </w:r>
    </w:p>
    <w:p>
      <w:r>
        <w:rPr>
          <w:b/>
        </w:rPr>
        <w:t>E. 4</w:t>
      </w:r>
    </w:p>
    <w:p>
      <w:r>
        <w:t>En l'occurrence, l’autorité intimée a estimé que la révocation de l'autorisation d'établissement était justifiée mais que le renvoi du recourant n'apparaissait pas proportionné dans le cas d'espèce, dès l’instant où l’intéressé est né en Suisse et y a vécu depuis lors de façon ininterrompue. Toutefois, dès lors que l'intéressé ne pouvait pas se prévaloir d'une intégration réussie selon l'art. 58a LEI, il se justifiait, selon l’autorité intimée, d'ordonner une rétrogradation de son autorisation d'établissement au sens de l'art. 63 al. 2 LEI. a) On relève tout d’abord que le recourant a été condamné en 2022 à une peine privative de liberté de vingt-quatre mois avec sursis, pour délit et crime contre la LStup, notamment. Il s’agit effectivement d’une peine de longue durée au sens de l’art. 62 al. 1 let. b LEI, qui à elle seule pourrait théoriquement justifier la révocation – pure et simple – de l’autorisation d’établissement, vu l’art. 63 al. 1 let. a LEI. Selon la jurisprudence, constitue en effet une peine privative de longue durée au sens de l’art. 62 al. 1 let. b LEI toute peine dépassant un an d'emprisonnement, indépendamment du fait qu'elle soit ou non assortie (en tout ou partie) du sursis (ATF 146 II 321 consid. 3.1 p. 325; 139 I 145 consid. 2.1 p. 147; 139 II 65 consid. 5.1 p. 72; arrêts TF 2D_33/2022 du 22 février 2023 consid. 2.3; 2C_657/2020 du 16 mars 2021 consid. 2.2). Cette condamnation peut en théorie suffire pour rétrograder, selon le nouveau droit, une autorisation d'établissement octroyée sous l'ancien droit (cf. ATF 148 II 1 consid. 5.3 p. 13; arrêt TF 2C_1053/2021 déjà cité consid. 5.5.1), puisque, selon le jugement pénal, les faits sur lesquels elle se fonde sont survenus postérieurement au 1 er janvier 2019. Dans son jugement du 13 avril 2022, le Tribunal correctionnel de l’arrondissement de La Côte a, certes, renoncé à prononcer l’expulsion du recourant en application de l’art. 66a al. 2 CP. Cette circonstance n’empêche cependant pas l’autorité administrative de prononcer une rétrogradation lorsque les conditions en sont remplies. aa) L’autorité intimée a invoqué à l’appui de sa décision la dépendance durable du recourant de l’assistance publique. En effet, à l’exception d’une période de deux ans, du 1 er septembre 2019 au 30 septembre 2021 – durant laquelle une bourse d’études lui aurait été allouée, selon ses explications –, le recourant a régulièrement perçu les prestations de l’assistance publique depuis le 1 er septembre 2012; ainsi au 31 décembre 2022, il avait perçu au total un montant de 123'417 fr.45. Sans doute, le recourant a produit une attestation des services sociaux régionaux, dont il ressort que son dossier RI a été fermé à compter du 1 er janvier 2023, puisqu’il aurait repris l’exercice d’une activité lucrative. On observe qu’auparavant, soit le 16 mai 2022, le SPOP lui avait fait part de son intention de revoir sa situation administrative en Suisse, au vu, notamment, de sa dépendance de l’aide sociale. La chronologie semble ainsi plutôt démontrer que c’est seulement à la suite de la mise en garde de l’autorité que le recourant a tenté de gagner une certaine autonomie, toute relative du reste. En effet, de cette activité lucrative, le recourant ne dit pratiquement rien (devant le SPOP, il avait été fait allusion à la restauration), si ce n’est que le revenu qu’il en tire ne serait pas très élevé. On relève sur ce point que le recourant n’a produit aucun contrat de travail, ni aucune fiche de salaire en lien avec l’activité dont il fait état et dont on ignore tout. Pourtant, le recourant est titulaire d’un diplôme de maturité, ce qui devrait favoriser dans une certaine mesure la recherche d’un emploi. Le recourant n’est donc pas dépourvu de tout bagage, ni de ressources personnelles d'ailleurs. Dans son recours, il évoque du reste une dynamique positive sur les plans tant personnel que professionnel. Si cette évolution mérite d'être saluée, il n'est pas encore acquis que le recourant parviendra durablement à être indépendant financièrement, sans recourir à l'aide sociale. bb) L’appréciation globale des circonstances démontre effectivement que, ces dernières années, le recourant n'a guère satisfait aux critères d'intégration, tels que définis à l'art. 58a al. 1 LEI. Il importe d’opposer à cet égard aux explications du recourant en premier lieu la peine privative de liberté de vingt-quatre mois prononcée à son encontre en 2022. Comme on l’a vu, il s’agit d’une peine de longue durée au sens du droit des étrangers, même si celle-ci a été assortie du sursis. A cela s’ajoute la dépendance du recourant des prestations de l’assistance publique, qui l’a conduit à percevoir une somme importante de la part de la collectivité. Le recourant ne fait valoir aucune circonstance personnelle au sens de l’art. 77f OASA; il ne souffre d’aucune maladie grave ou de longue durée (let. b) qui l’eût empêché de remplir les critères d’intégration posés par la loi. Au vu de la condamnation dont il a été l'objet, ainsi que de sa dépendance de l'assistance publique, la révocation pure et simple de l’autorisation d’établissement du recourant aurait en théorie pu entrer en ligne de compte; toutefois, la question de la proportionnalité d’une telle mesure (cf. art. 96 al. 1 LEI) devrait alors se poser. L’autorité intimée y a implicitement répondu par la négative; dans la mesure où le recourant est né en Suisse, où il a toutes ses attaches et vit depuis bientôt trente-huit ans, on peut admettre que son intérêt privé à y demeurer doit en effet revêtir un caractère prépondérant. A cela s’ajoute que, pour les mêmes motifs, les juges pénaux ont de toute façon renoncé à prononcer l’expulsion du recourant, vu l’art. 66a al. 2 CP. Aucune raison ne commande par conséquent de remettre en cause l’appréciation de l’autorité intimée. b) Dans ces conditions, c’est à bon droit qu’une mesure de rétrogradation, assortie d’une recommandation d’intégration, a été prononcée. La décision attaquée est en effet assortie des conditions qui régissent la poursuite du séjour du recourant en Suisse, conformément à l’art. 62a let. c OASA. Ce dernier devra satisfaire aux critères d'intégration mentionnés à l'article 58a LEI, en particulier ne pas avoir fait l'objet de nouvelles condamnations et ne plus dépendre de l’assistance publique, ce qui suppose qu’il soit indépendant financièrement. En outre, il lui est rappelé, conformément à l’art. 62a let. d OASA, que le non-respect de ces conditions à l'échéance de l'autorisation de séjour pourrait avoir pour conséquence le refus de prolongation de l'autorisation de séjour et le prononcé d’un renvoi. Il n’apparaît pas que cette décision soit disproportionnée. Il importe de garder à l’esprit que la mesure prise à l'encontre du recourant a surtout pour but de lui rappeler de manière contraignante son obligation d'intégration, consacrée à l’art. 58b LEI (dans ce sens, arrêt TF 2C_723/2022 déjà cité consid. 4.2). Dès lors, cette mesure apparaît comme apte à l’inciter à changer de comportement à l'avenir pour mieux s'intégrer en Suisse. La gravité des actes reprochés au recourant (même s'il s'agit d'une unique condamnation pour des faits de cette nature) et sa situation économique particulièrement obérée, qui perdure depuis plus de dix ans, rendent par ailleurs inadéquat le prononcé d'un avertissement; une telle mesure n’apparaît pas comme suffisante pour atteindre le but d'intégration poursuivi. Au vu des circonstances du cas d’espèce, la rétrogradation répond au contraire à la règle de nécessité. Quant à l'intérêt privé du recourant à conserver son autorisation d'établissement, celui-ci ne saurait l'emporter sur l'intérêt public à ce qu'il remédie à son important déficit d'intégration, ce d'autant plus que, malgré la rétrogradation, il pourra demeurer en Suisse et continuer à y vivre sa vie familiale. Il lui sera en outre possible de demander à nouveau, dans cinq ans et pour autant qu'il remplisse les exigences en matière d'intégration, l'octroi d'une autorisation d'établissement.</w:t>
      </w:r>
    </w:p>
    <w:p>
      <w:r>
        <w:rPr>
          <w:b/>
        </w:rPr>
        <w:t>E. 5</w:t>
      </w:r>
    </w:p>
    <w:p>
      <w:r>
        <w:t>Les considérants qui précèdent conduisent par conséquent au rejet du recours et à la confirmation de la décision attaquée. Le recourant,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