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PE.2022.0133 vom 5. April 2023</w:t>
      </w:r>
    </w:p>
    <w:p>
      <w:r>
        <w:t>VD Tribunal cantonal, 2023-04-05, FR</w:t>
      </w:r>
    </w:p>
    <w:p>
      <w:r>
        <w:rPr>
          <w:b/>
        </w:rPr>
        <w:t xml:space="preserve">Quelle: </w:t>
      </w:r>
      <w:r>
        <w:t>https://mcp.opencaselaw.ch/entscheid/vd_omni_PE.2022.0133</w:t>
      </w:r>
    </w:p>
    <w:p>
      <w:r>
        <w:t>FR: VD_OMNI PE.2022.0133 du 5 avril 2023</w:t>
      </w:r>
    </w:p>
    <w:p>
      <w:r>
        <w:t>IT: VD_OMNI PE.2022.0133 del 5 aprile 2023</w:t>
      </w:r>
    </w:p>
    <w:p>
      <w:pPr>
        <w:pStyle w:val="Heading2"/>
      </w:pPr>
      <w:r>
        <w:t>Regeste</w:t>
      </w:r>
    </w:p>
    <w:p>
      <w:r>
        <w:t>A.________/Direction générale de l'emploi et du marché du travail - DGEM, Service de la population (SPOP) | Infraction au droit des étrangers. Le recourant a employé à la plonge un ressortissant étranger, qui n'était pas au bénéfice d'une autorisation de travail. Quand bien même l'étranger aurait exercé cette activité à titre gratuit, le recourant a bénéficié de ses services, comme employeur de fait. En cette qualité, il aurait dû vérifier que le travailleur disposait de l'autorisation de travail requise. Une sommation au sens de l'art. 122 LEI est ainsi justifiée; celle-ci peut être prononcée dès la première infraction à la LEI. L'émolument administratif est aussi justifié. Rejet du recours.</w:t>
      </w:r>
    </w:p>
    <w:p>
      <w:pPr>
        <w:pStyle w:val="Heading2"/>
      </w:pPr>
      <w:r>
        <w:t>Erwägungen</w:t>
      </w:r>
    </w:p>
    <w:p>
      <w:r>
        <w:rPr>
          <w:b/>
        </w:rPr>
        <w:t>E. 1</w:t>
      </w:r>
    </w:p>
    <w:p>
      <w:r>
        <w:t>a) Interjeté en temps utile auprès de l'autorité compétente, le recours satisfait par ailleurs aux autres conditions formelles de recevabilité (cf. notamment l’art. 79 de la loi vaudoise du 28 octobre 2008 sur la procédure administrative [LPA-VD; BLV 173.36], applicable par renvoi de l'art. 99 LPA-VD), de sorte qu'il y a lieu d'entrer en matière sur le fond. b) Le recourant conclut à l'annulation de la décision dont est recours " en ce sens que l'autorisation de démolir le garage non cadastré sis sur la parcelle 98 et accolé au Nord-Est du bâtiment ECA 173 est refusée ". Il s'agit manifestement d'une erreur de plume et il y a lieu de retenir que le recourant conclut à l'annulation de la décision de la DGEM du 10 octobre 2022 intitulée " Infraction au droit des étrangers ". c) Le litige porte sur la sommation infligée au recourant pour non-respect des procédures applicables à l'engagement de main-d'œuvre étrangère. Les décisions rendues le même jour, relatives aux frais de contrôle et aux conditions de travail et salaire, n'ont pas été attaquées devant le Tribunal de céans.</w:t>
      </w:r>
    </w:p>
    <w:p>
      <w:r>
        <w:rPr>
          <w:b/>
        </w:rPr>
        <w:t>E. 2</w:t>
      </w:r>
    </w:p>
    <w:p>
      <w:r>
        <w:t>Le recourant a requis la tenue d'une audience, son interrogatoire et l'audition de témoins. a) Le droit d'être entendu découlant des art. 29 al. 2 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b) En l'occurrence, la Cour s'estime suffisamment renseignée sur la base du dossier pour statuer en toute connaissance de cause. Le recourant, qui agit avec le concours d’un avocat, a pu s’exprimer par écrit dans le cadre de son mémoire de recours. En particulier, on ne voit pas en quoi l'audition requise apparaîtrait nécessaire ni en quoi elle pourrait influer sur le sort de la cause. Effet, le recourant entend faire porter l'interrogatoire des parties et témoins sur son séjour à l'étranger au moment du contrôle ainsi que sur l'absence de B.________ le 25 août 2022. Comme il sera exposé ci-après, ces éléments ne sont pas déterminants. Sur la base d'une appréciation anticipée des preuves, la Cour renonce dès lors à donner suite aux réquisitions de preuve du recourant.</w:t>
      </w:r>
    </w:p>
    <w:p>
      <w:r>
        <w:rPr>
          <w:b/>
        </w:rPr>
        <w:t>E. 3</w:t>
      </w:r>
    </w:p>
    <w:p>
      <w:r>
        <w:t>La  décision dont est recours retient que le recourant a occupé à son service un travailleur étranger qui n'était pas en possession de l'autorisation nécessaire délivrée par l'autorité compétente au moment de la prise d'emploi.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 sommation "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CDAP PE.2018.0451 du 18 juillet 2019 consid. 2a; PE.2010.0302 du 3 novembre 2011 consid. 3a et les références). Le Tribunal fédéral retient que l'avertissement prévu à l'art. 122 al. 2 LEI (auparavant LEtr) peut être infligé à un employeur dès la première infraction commise (ATF 141 II 57 consid. 7 considérant que "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 Par ailleurs, selon la jurisprudence, une telle sommation peut être prononcée malgré la bonne foi de l'employeur (CDAP GE.2016.0150 / PE.2016.0383 du 21 décembre 2016 consid. 2a et les références citées). b)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au sens de la LEI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CDAP GE.2022.0066 / PE.2022.0040 du 8 août 2022 consid. 2).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128 IV 170 consid. 4; CDAP GE.2022.0073 / PE.2022.0041 du 20 octobre 2022 consid. 2b; GE.2018.0237 du 12 juin 2019 consid. 3b; PE.2018.0369 du 4 mars 2019 consid. 2a/cc et les références citées). c) En l'occurrence, il n'est pas contesté que, le 24 août 2022, le recourant a employé à la plonge B.________, ressortissant serbe, qui n'était pas au bénéfice d'une autorisation de travail. Dans son recours, le recourant indique que B.________ est venu rendre service, alors que lui-même devait s'absenter en urgence. Il n'indique pas clairement si B.________ était rémunéré pour cette activité, ou non; quoi qu'il en soit, cela n'est pas déterminant . En effet, le travail de plonge dans un restaurant est une activité lucrative qui est normalement salariée. Quand bien même B.________ aurait exercé cette activité à titre gratuit, il y a lieu de retenir que le recourant a effectivement bénéficié de ses services; l'art. 11 al. 2 LEI englobe d'ailleurs expressément l'activité exercée gratuitement (cf. dans le même sens, CDAP GE.2021.0037 / PE.2021.0030 du 29 décembre 2021 consid. 3 constatant que le ressortissant étranger a effectivement servi les intérêts l'employeuse en répondant à des appels téléphoniques et en accueillant de potentiels clients, indépendamment d'une rémunération ; PE.2018.0451 du 18 juillet 2019 consid. 2b, concernant des ressortissants étrangers qui auraient livré des journaux à titre gratuit). Le recourant doit, par conséquent, en être considérée comme l'employeur de fait de B.________ en date du 24 août 2022 . En cette qualité, il lui incombait de s'assurer, avant de bénéficier des services dudit travailleur, qu'il disposait de l'autorisation de travail requise. En l'occurrence, le recourant n'a pas procédé à cette vérification, en violation de ses obligations légales. Quant à la question de savoir si B.________ est venu travailler le 25 août 2022, elle n'est pas déterminante. En effet, même si l'on retient qu'il n'est venu travailler que le 24 août 2022, l'infraction à la LEI est réalisée. Comme mentionné ci-dessus, il a été jugé par le Tribunal fédéral qu'une sommation au sens de l'art. 122 LEI peut être prononcée dès la première infraction, déjà réalisée le 24 août 2022. d) Au vu des éléments exposés ci-avant, c'est à juste titre que l’autorité intimée a retenu que le recourant était l’employeur du travailleur étranger, qu’il avait manqué à son devoir de diligence (art. 91 al. 1 LEI) en ne vérifiant pas que ce dernier disposait des autorisations requises et qu’il devait par conséquent être sanctionné pour ce motif (art. 122 al. 2 LEI). La décision attaquée, qui prononce un avertissement, soit la sanction la moins sévère prévue par l’art. 122 al. 2 LEI, est en outre conforme au principe de la proportionnalité. L'émolument administratif lié à la sanction est également justifié.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w:t>
      </w:r>
    </w:p>
    <w:p>
      <w:r>
        <w:rPr>
          <w:b/>
        </w:rPr>
        <w:t>E. 4</w:t>
      </w:r>
    </w:p>
    <w:p>
      <w:r>
        <w:t>Il résulte de ce qui précède que le recours doit être rejeté et la décision attaquée, intitulée " Infraction au droit des étrangers ", confirmée. Les frais de la cause sont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