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PE.2022.0126 vom 29. März 2023</w:t>
      </w:r>
    </w:p>
    <w:p>
      <w:r>
        <w:t>VD Tribunal cantonal, 2023-03-29, FR</w:t>
      </w:r>
    </w:p>
    <w:p>
      <w:r>
        <w:rPr>
          <w:b/>
        </w:rPr>
        <w:t xml:space="preserve">Quelle: </w:t>
      </w:r>
      <w:r>
        <w:t>https://mcp.opencaselaw.ch/entscheid/vd_omni_PE.2022.0126</w:t>
      </w:r>
    </w:p>
    <w:p>
      <w:r>
        <w:t>FR: VD_OMNI PE.2022.0126 du 29 mars 2023</w:t>
      </w:r>
    </w:p>
    <w:p>
      <w:r>
        <w:t>IT: VD_OMNI PE.2022.0126 del 29 marzo 2023</w:t>
      </w:r>
    </w:p>
    <w:p>
      <w:pPr>
        <w:pStyle w:val="Heading2"/>
      </w:pPr>
      <w:r>
        <w:t>Regeste</w:t>
      </w:r>
    </w:p>
    <w:p>
      <w:r>
        <w:t>A.________/Service de la population (SPOP) | Confirmation du refus de délivrer une autorisation de séjour à une ressortissante albanaise, entrée en Suisse en 2011 sans autorisation et qui y séjourne depuis lors dans la clandestinité. Divorcée de son ex-époux, la recourante fait valoir un risque de représailles de ce dernier et de sa famille, en lien avec l'application des règles traditionnelles du «Kânun». Toutefois, elle n'établit pas dans quelle mesure elle serait concrètement visée par l'application de ces règles en cas de retour en Albanie; de plus, selon les informations obtenues durant l'instruction de la demande auprès de l'Ambassade de Suisse à Pristina, la ville où habitait la recourante a évolué vers une société plus libérale que celle qui peut encore dominer dans l’arrière-pays. Rejet du recours.</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a exclusivement trait au refus de l’autorité intimée de délivrer en faveur de la recourante une autorisation de séjour pour cas de rigueur. Dès l’instant où l’intéressée est ressortissant d’un Etat avec lequel la Suisse n’est liée par aucune convention, cette question doit être résolue au regard du droit interne exclusivement, soit la loi fédérale du 16 décembre 2005 sur les étrangers et l'intégration (LEI; RS 142.20) et ses ordonnances d’application. Sans doute, la recourante a également conclu, à titre subsidiaire, à la délivrance d’une admission provisoire au sens de l’art. 83 al. 1 LEI; elle fait valoir à cet égard que son renvoi ne serait pas licite (ibid., al. 3). L’art. 79 al. 2 1 ère phr. LPA-VD ne permet toutefois pas au recourant de prendre des conclusions qui sortent du cadre fixé par la décision attaquée (cf. en outre sur ce point, Moor/Poltier, op. cit., ch. 5.8.1.4 et 5.8.4.2). Or, la décision du 22 septembre 2022 ne se prononce pas sur le point de savoir si une admission provisoire doit être proposée à l’autorité fédérale compétente (cf. art. 83 al. 6 LEI), ni l’autorité intimée, ni le SPOP n’ayant été saisis d’une demande en ce sens. La recourante ne peut par conséquent pas prendre des conclusions, ni formuler de griefs allant au-delà de l'objet du litige. Cette dernière conclusion apparaît ainsi comme étant irrecevable, dès lors qu'elle est exorbitante de l'objet du litige.</w:t>
      </w:r>
    </w:p>
    <w:p>
      <w:r>
        <w:rPr>
          <w:b/>
        </w:rPr>
        <w:t>E. 3</w:t>
      </w:r>
    </w:p>
    <w:p>
      <w:r>
        <w:t>a) Aux termes de l’art. 30 al. 1 let. b LEI,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du Tribunal fédéral 2D_39/2018 du 18 décembre 2018 consid. 1.2; 2C_605/2018 du 24 octobre 2018 consid. 1.1; 2C_367/2016 du 16 juin 2016 consid. 2 et les références citées; cf. ég. Andrea Good/Titus Bosshard, Abweichungen von den Zulassungsvoraussetzungen, in : Caroni/Gächter/Thurnherr [édit.], Bundesgesetz über die Ausländerinnen und Ausländer [AuG], Berne 2010, p. 226 s. nos 2 et 3 ad art. 30 LEtr; cf. en outre Marc Spescha/Peter Bolzli/Fanny de Weck/Valerio Priuli, Handbuch zum Migrationsrecht, 4 e éd., Zurich 2020, p. 305). b) L’art. 30 al. 1 let. b LEI est complété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aa)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SEM, Directives et commentaires, I. Domaine des étrangers, [Directives LEI], état au 1 er février 2023,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et la jurisprudence et doctrine citée; ATAF 2009/40 consid. 6.2). bb)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cc)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 c)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d)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 e) Il convient dès lors d'examiner si l'existence d'un cas de rigueur peut être admise à la lumière des critères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 Selon l'art. 8 par. 1 de la Convention de sauvegarde des droits de l’homme et des libertés fondamentales du 4 novembre 1950 (CEDH ; RS 0.101),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arrêts TF 2C_20/2019 du 13 mai 2019 consid. 7.1 et 7.4; 2C_302/2019 du 1er avril 2019 consid. 4.1).</w:t>
      </w:r>
    </w:p>
    <w:p>
      <w:r>
        <w:rPr>
          <w:b/>
        </w:rPr>
        <w:t>E. 4</w:t>
      </w:r>
    </w:p>
    <w:p>
      <w:r>
        <w:t>En l’occurrence, les considérations qui précèdent permettent au Tribunal de faire plusieurs constatations. a) La recourante est entrée en Suisse en 2011 sans autorisation et n’a cessé depuis lors d’y séjourner clandestinement, au mépris de la loi. Il importe de lui opposer à cet égard le texte même de l’art. 77a al. 1 OASA, aux termes duquel il y a notamment non-respect de la sécurité et de l'ordre publics lorsque la personne concernée viole des prescriptions légales ou des décisions d'une autorité (let. a) ou s'abstient volontairement d'accomplir des obligations de droit public ou privé (let. b). Le séjour illégal de la recourante n’a pas été implicitement toléré jusque-là par l’autorité intimée, qui en ignorait l’existence jusqu’au jour où, en février 2020, le SDE a statué négativement sur la demande de permis de travail de son employeur. En effet, à aucun moment, la recourante n’a cherché durant toute cette période, à régulariser sa situation administrative en Suisse; cela affaiblit le poids de son intégration, l’autorité ayant été mise en quelque sorte devant le fait accompli. Il est par conséquent exclu d'accorder un poids prépondérant à ces années durant lesquelles la recourante a séjourné en Suisse et d’en tenir compte pour statuer sur sa demande tendant à la délivrance d’autorisations de séjour en sa faveur. Le contraire reviendrait en effet à fixer une limite d'âge à partir de laquelle un comportement illégal durable cesserait de l'être, ce qui n’est pas admissible (dans ce sens, arrêt TF 2C_498/2018 du 29 juin 2018 consid. 6.2). Il importe bien plutôt d’examiner si la recourante peut se prévaloir d’autres éléments, faisant apparaître la décision attaquée comme résultant d’un abus du pouvoir d’appréciation de la part de l’autorité intimée. b) La recourante a également travaillé chez des particuliers, mais de façon clandestine, sans autorisation.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la recourante a adoptée en l’occurrence pour pouvoir travailler en Suisse contribue à ce marché condamnable (cf. consid. 5.1 p. 44). Au surplus, la recourante ne dispose pas de qualifications particulières et ne prétend pas non plus avoir suivi une formation depuis son arrivée en Suisse. Elle ne peut donc pas se prévaloir d'une réussite professionnelle remarquable. c) La recourante souffre sans doute de problèmes orthopédiques, mais cette atteinte dans sa santé n’est pas suffisante pour que l’on retienne qu’elle constitue un cas de rigueur. En outre, les problèmes d’ordre psychique qu’elle rencontre actuellement (cf. attestation du Dr. D.________ du 18 octobre 2022) et met en avant pour justifier l’extrême gravité de sa situation personnelle trouvent largement pour l’essentiel leur origine dans la perspective de son renvoi, qu’elle ne veut pas accepter et qu’elle combat. Ils ne permettent dès lors pas de considérer que la recourante se trouverait dans une situation d’extrême gravité. d) La recourante ne fait état d’aucune autre attache personnelle avec la Suisse. On ne retire pas en effet de ses explications qu’elle entretiendrait des contacts réguliers avec des autochtones, qu’elle serait membre d’une société locale ou qu’elle participerait aux activités culturelles de la région ou du canton. Elle ne démontre pas l’existence de liens personnels particuliers avec la Suisse. Sur ce point, la recourante ne fait pas valoir la protection de sa vie familiale au sens de l’art. 8 CEDH. Quoi qu’il en soit, dans la mesure où son fils est majeur, d’une part, et qu’aucun élément ne permet de retenir qu’il existe entre eux un lien de dépendance, au point que la première soit dans l'absolue nécessité de demeurer en Suisse pour y être assistée ou assister le second, d’autre part, la protection de la vie familiale au sens où l’entend l’art. 8 par. 1 CEDH n’entre pas en considération (cf. sur ce point ATF 145 I 227 consid. 3.1 p. 231 et les arrêts cités). e) Avec récurrence, la recourante a évoqué devant l’autorité intimée la situation à laquelle elle serait confrontée au cas où elle retournerait vivre dans son pays d’origine. Divorcée de son ex-époux, elle fait valoir un risque de représailles de ce dernier et de sa famille, en lien avec l'application des règles traditionnelles du «Kânun». Elle se limite toutefois à exposer de manière générale et abstraite en quoi consiste ce droit coutumier kosovar, sans établir dans quelle mesure elle serait concrètement visée par son application en cas de retour. On observe à cet égard que la recourante habitait, lorsqu’elle a quitté son pays d’origine, la ville de ******** qui, selon les renseignements obtenus auprès de l’Ambassade de Suisse à Pristina, paraît avoir évolué vers les règles d’une société plus libérale que celles qui peuvent encore dominer dans l’arrière-pays. En dépit de ses explications, il s’avère que la situation de la recourante ne se distingue guère de ses compatriotes demeurés au pays. Elle parviendra probablement à créer ou recréer des liens à son retour en Albanie. Tout bien considéré, la recourante devrait pouvoir se réintégrer dans son pays d'origine sans difficultés particulières. En outre, comme on le verra au considérant ci-dessous, il n’existe aucun obstacle à l’exécution du renvoi de la recourante. f) Il y a dès lors lieu d'admettre, au vu de ce qui précède, que la recourante ne se trouve pas dans un cas individuel d'une extrême gravité qui justifierait l'octroi d'une autorisation de séjour en application de l'art. 30 al. 1 let. b LEI. L’autorité intimée n’a donc pas abusé de son pouvoir d’appréciation en refusant de proposer au SEM une exception aux mesures de limitation en vue de la délivrance d’une telle autorisation.</w:t>
      </w:r>
    </w:p>
    <w:p>
      <w:r>
        <w:rPr>
          <w:b/>
        </w:rPr>
        <w:t>E. 5</w:t>
      </w:r>
    </w:p>
    <w:p>
      <w:r>
        <w:t>La recourante s’oppose en outre à son renvoi. a) On rappelle qu’aux termes de l’art. 64 al. 1 LEI: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Les conditions permettant la délivrance d’une admission provisoire sont définies par l’art. 83 LEI, à teneur duquel: " 1 Le SEM décide d'admettre à titre provisoire l'étranger si l'exécution du renvoi ou de l'expulsion n'est pas possible, n'est pas licite ou ne peut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L’art. 83 al. 3 LEI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De même, selon l'art. 10 al. 3 Cst., la torture et tout autre traitement ou peine cruels, inhumains ou dégradants sont interdits. Aucun intérêt opposé, aussi important soit-il, ne peut justifier la violation de ces dispositions; en d'autres termes, il n'est pas admissible de les mettre en balance dans le cadre d'une pesée des intérêts (arrêts TF 2C_1004/2018 du 11 juin 2019 consid. 7.2; 2C_819/2016 du 14 novembre 2016 consid. 2.4).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CDAP PE.2013.0377 du 23 avril 2015). Il incombe à la personne concernée de prouver l'existence de tels risques réels; des considérations générales sont insuffisantes à cet égard (arrêts TF  2C_268/2021 du 27 avril 2021 consid. 5.1.1; 2C_1004/2018 du 11 juin 2019 consid. 7.2; 2C_819/2016 du 14 novembre 2016 consid. 3.1; 2C_87/2007 du 18 juin 2007 consid. 4.2.3).  L'art. 3 CEDH trouve aussi à s'appliquer lorsque le danger émane d'acteurs non étatiques (cf. arrêts TF 2C_136/2017 du 20 novembre 2017 consid. 6.2.1; 2C_868/2016 du 23 juin 2016 consid. 5.2.2; ATF 111 Ib 68). Encore faut-il démontrer que le risque existe réellement et que les autorités de l'Etat de destination ne sont pas en mesure d'y obvier par une protection appropriée ou n'ont pas la volonté de le faire (arrêt TF 2C_564/2021 du 3 mai 2022 consid. 6.3, réf. citées). L’art. 83 al. 4 LEI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b) La demande d’autorisation de séjour de la recourante ayant été refusée et cette dernière ne pouvant prétendre à aucun droit pour pouvoir continuer à séjourner en Suisse, c’est à juste titre que son renvoi a été prononcé. L’autorité intimée a estimé que le renvoi de la recourante était licite et raisonnablement exigible. La recourante a sans doute évoqué à plusieurs reprises les risques de représailles auxquels elle pourrait être exposée de la part de son ex-mari et de la famille de ce dernier, au cas où elle retournait dans son pays d’origine. Comme on l’a déjà relevé, des renseignements ont été pris durant l’instruction de la demande auprès de l’Ambassade de Suisse à Pristina, aux fins de vérifier si les allégations de la recourante étaient fondées. Or, il s’est avéré que les craintes de la recourante étaient en grande partie infondées. Du reste, la recourante se contente de généralités sur la situation des femmes divorcées exposées à la violence dans les pays de la péninsule balkanique; rien n’indique dans son dossier qu’elle-même serait concrètement menacée en cas de renvoi vers l’Albanie. Même si, en l’occurrence, le risque de mise en péril pourrait ne relever que d'une simple probabilité, cela ne suffirait pas encore comme preuve de risque réel (cf. sur ce point, arrêt TF 2C_1004/2018 du 11 juin 2019 consid. 7.3.2). Au surplus, la «vendetta» n’est aujourd’hui plus considérée comme un obstacle au renvoi et à l’exécution du renvoi vers l’Albanie ou le Kosovo (cf. arrêts TAF E-3160/2015 du 5 juin 2015 consid. 8; E-6802/2014 du 5 décembre 2014 consid. 7.3 et 9.2.4; E-5031/2012 du 4 juin 2014 consid. 7.3). Dans une situation de ce genre, il appartient de toute façon au pays d’origine de la recourante d’assurer sa protection (cf. dans ce sens, arrêts PE.2019.0275 du 18 septembre 2019 consid. 3c; PE.2016.0126 du 18 juin 2016 consid. 2c; PE.2016.0029 du 22 mars 2016 consid. 2, qui concernent tous des recourants exposés à des risques de représailles dans leur pays d’origine). A cela s’ajoute que la recourante, qui est originaire d’une autre ville d’Albanie, pourrait s’établir ailleurs qu’à ********, si elle estime courir des risques dans cette dernière ville. c) Au vu de ce qui précède, c’est sans arbitraire que l’autorité intimée a estimé ne pas être en mesure de proposer aux autorités fédérales l’admission provisoire de la recourante.</w:t>
      </w:r>
    </w:p>
    <w:p>
      <w:r>
        <w:rPr>
          <w:b/>
        </w:rPr>
        <w:t>E. 6</w:t>
      </w:r>
    </w:p>
    <w:p>
      <w:r>
        <w:t>Il suit de ce qui précède que le recours, mal fondé, ne peut qu’être rejeté dans la mesure de sa recevabilité et la décision attaquée, confirmée. Le sort du recours commande de mettre les frais à la charge de la recourante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