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PE.2022.0108 vom 15. November 2022</w:t>
      </w:r>
    </w:p>
    <w:p>
      <w:r>
        <w:t>VD Tribunal cantonal, 2022-11-15, FR</w:t>
      </w:r>
    </w:p>
    <w:p>
      <w:r>
        <w:rPr>
          <w:b/>
        </w:rPr>
        <w:t xml:space="preserve">Quelle: </w:t>
      </w:r>
      <w:r>
        <w:t>https://mcp.opencaselaw.ch/entscheid/vd_omni_PE.2022.0108</w:t>
      </w:r>
    </w:p>
    <w:p>
      <w:r>
        <w:t>FR: VD_OMNI PE.2022.0108 du 15 novembre 2022</w:t>
      </w:r>
    </w:p>
    <w:p>
      <w:r>
        <w:t>IT: VD_OMNI PE.2022.0108 del 15 novembre 2022</w:t>
      </w:r>
    </w:p>
    <w:p>
      <w:pPr>
        <w:pStyle w:val="Heading2"/>
      </w:pPr>
      <w:r>
        <w:t>Regeste</w:t>
      </w:r>
    </w:p>
    <w:p>
      <w:r>
        <w:t>A.________/Service de la population (SPOP) | Rejet du recours dirigé contre un refus d'octroi d'une autorisation de séjour à une ressortissante canadienne qui souhaite vivre auprès de son compagnon de nationalité suisse. Les conditions posées à la délivrance d'une autorisation de séjour en vue de mariage ne sont pas remplies car le mariage ne peut pas être célébré dans un délai prévisible. La recourante ne peut pas se prévaloir de la protection conférée par l'art. 8 par. 1 CEDH vu la faible durée de vie commmune des concubins, l'absence d'un mariage imminent et celle d'enfant commun. Les conditions posées à la reconnaissance d'un cas individuel d'extrême gravité ne sont pas davantage remplies puisque la recourante n'a pas d'attaches particulières avec la Suisse, hormis sa relation avec son compagnon. Or, cette relation a été vécue durant de nombreuses années uniquement à distance et la cohabitation récente des concubins est relativement brève.</w:t>
      </w:r>
    </w:p>
    <w:p>
      <w:pPr>
        <w:pStyle w:val="Heading2"/>
      </w:pPr>
      <w:r>
        <w:t>Erwägungen</w:t>
      </w:r>
    </w:p>
    <w:p>
      <w:r>
        <w:rPr>
          <w:b/>
        </w:rPr>
        <w:t>E. 1</w:t>
      </w:r>
    </w:p>
    <w:p>
      <w:r>
        <w:t>Déposé dans le délai légal de 30 jours, compte tenu des féries, devant le Tribunal cantonal contre une décision du SPOP, qui n'est pas susceptible de recours devant une autre autorité, le recours satisfait pour le surplus aux exigences formelles prévues par la loi, si bien qu'il y a lieu d'entrer en matière sur le fond (art. 75, 79, 92, 95, 96 al. 1 let. b et 99 de la loi du 28 octobre 2008 sur la procédure administrative [LPA-VD; BLV 173.36]).</w:t>
      </w:r>
    </w:p>
    <w:p>
      <w:r>
        <w:rPr>
          <w:b/>
        </w:rPr>
        <w:t>E. 2</w:t>
      </w:r>
    </w:p>
    <w:p>
      <w:r>
        <w:t>a) Les ressortissants étrangers ne bénéficient en principe d'aucun droit à une autorisation de séjour, sauf s'ils peuvent le déduire d'une norme particulière du droit fédéral ou d'un traité international (ATF 130 II 281 consid. 2.1, 493 consid. 3.1; 128 II 145 consid. 1.1.1, et les arrêts cités). b) La recourante est ressortissante du Canada, Etat tiers, avec lequel la Suisse n’est liée par aucun traité en matière d’établissement et de séjour. En conséquence, sa demande doit être traitée en application du droit interne, soit la loi fédérale du 16 décembre 2005 sur les étrangers et l’intégration (LEI; RS 142.20) et ses ordonnances d’exécution , cela sous réserve de la Convention de sauvegarde des droits de l'homme et des libertés fondamentales du 4 novembre 1950 (CEDH; RS 0.101) .</w:t>
      </w:r>
    </w:p>
    <w:p>
      <w:r>
        <w:rPr>
          <w:b/>
        </w:rPr>
        <w:t>E. 3</w:t>
      </w:r>
    </w:p>
    <w:p>
      <w:r>
        <w:t>La décision attaquée refuse de délivrer à la recourante une autorisation de séjour pour lui permettre de vivre auprès de son fiancé. La recourante se prévaut d’une violation de l’art. 30 al. 1 let. b LEI. a) Cette disposition prévoit qu'il est possible de déroger aux conditions d'admission des étrangers (art. 18 à 29 LEI), notamment pour tenir compte des cas individuels d'une extrême gravité ou d'intérêts publics majeurs. Elle est complétée par l'art. 31 al. 1 de l’ordonnance du 24 octobre 2007 relative à l’ordonnance relative à l’admission, au séjour et à l’exercice d’une activité lucrative (OASA; RS 142.201), qui fournit une liste exemplaire de critères à prendre en considération lors de l'appréciation en ces termes: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Selon la jurisprudence, comme le montre la formulation potestative de l'art. 30 al. 1 i.i LEI, un étranger n'a aucun droit à l'octroi d'une autorisation de séjour en vertu de cette disposition (cf. arrêts TF 2D_39/2018 du 18 décembre 2018 consid. 1.2; 2C_605/2018 du 24 octobre 2018 consid. 1.1). La reconnaissance d'un cas d'extrême gravité au sens de l'art. 30 al. 1 let. b LEI s'apprécie restrictivement. L'étranger doit se trouver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que la relation du requérant avec la Suisse soit si étroite qu'on ne peut pas exiger qu'il aille vivre dans un autre pays, notamment dans son pays d'origine (cf. ATF 130 II 39 consid. 3 p. 41 s., rendu sous l'empire de l'art. 13 let. f de l'ancienne ordonnance fédérale du 6 octobre 1986 limitant le nombre des étrangers [aOLE; RO 1986 1791], mais toujours applicable depuis l'entrée en vigueur de la LEI [ATF 136 I 254 consid. 5.3.1 p. 262]). Dans ses Directives et commentaires I. Domaine des étrangers, état au 1er octobre 2022, qui n’ont pas force de loi en tant que simples ordonnances administratives, mais dont l’administration et les tribunaux tiennent en principe compte lorsqu’elles sont conformes à l’ordre juridique (cf. ATF 146 II 359 consid. 5.3 et 142 II 182 consid. 2.3.2), le Secrétariat d’Etat aux migrations (SEM) précise les conditions dans lesquelles une telle dérogation peut être accordée dans le cas d'un couple concubin sans enfant (ch. 5.6.3):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b) S’agissant des fiancés, eu égard à l'art. 12 CEDH (respectivement à l'art. 14 de la Constitution fédérale de la Confédération suisse du 18 avril 1999 [Cst.; RS 101], cf. ATF 139 I 37 consid. 3.5.2), la jurisprudence retient que, dans la mesure où l'officier de l'état civil ne peut pas célébrer le mariage d'un étranger qui n'a pas établi la légalité de son séjour en Suisse (cf. art. 98 al. 4 du Code civil suisse [CC; RS 121]), les autorités de police des étrangers sont tenues de délivrer un titre de séjour en vue du mariage lorsqu'il n'y a pas d'indice que l'étranger entende, par cet acte, invoquer abusivement les règles sur le regroupement familial (1) et qu'il apparaît clairement que l'intéressé remplira les conditions d'une admission en Suisse après son union (2) (cf. art. 17 al. 2 LEI par analogie; ATF 139 I 37 consid. 3.5.2 ; 138 I 41 consid. 4; 137 I 351 consid. 3.7; arrêt TF 2C_117/2019 du 7 juin 2019 consid. 3). L'autorisation de courte durée en vue du mariage ne devra en outre être délivrée que si le mariage peut être célébré dans un délai prévisible (3); ce titre de séjour ne doit en effet pas servir à assurer une présence à long terme (arrêt TF 2C_117/2019 du 7 juin 2019 consid. 3). c) Selon la jurisprudence, un étranger peut, selon les circonstances, se prévaloir de l'art. 8 par. 1 CEDH; RS 0.101,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147 I 268 consid. 1.2.3 et les références citées).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(ATF 144 I 266 consid. 2.5 et les réf. citées; arrêts TF 2C_976/2019 du 24 février 2020 consid. 4.1 et les références citées, 2C_207/2012 du 31 mai 2012 consid. 3.3). Selon la jurisprudence du Tribunal fédéral, encore récemment confirmée (cf. arrêt 2C_722/2019 du 2 septembre 2019 consid. 4.1 ),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La CourEDH, considérant que la notion de "famille" ne se limite pas aux seules relations fondées sur le mariage, mais peut englober d'autres liens "familiaux" lorsque les parties cohabitent en dehors du mariage, retient que, pour déterminer si une relation peut être assimilée à une "vie familiale", il y a lieu de tenir compte d'un certain nombre d'éléments, comme le fait de savoir si le couple vit ensemble, depuis combien de temps et s'il y a des enfants communs (cf. arrêt CourEDH  Yigit c. Turquie du 2 novembre 2011, requête n° 3976/05, par. 94 et 96 et les arrêts cités).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CourEDH  Kroon et autres c. Pays-Bas du 27 octobre 1994, requête n° 18535/91, par. 7 et 30; X, Y et Z c. Royaume-Uni du 22 avril 1997, requête n° 21830/93, par. 12 ss et 36 s.;  Yigit c. Turquie du 2 novembre 2011, requête n° 3976/05, par. 10).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(cf. arrêts TF 2C_634/2011 du 27 juin 2012 consid. 4.2.2; 2C_97/2010 du</w:t>
      </w:r>
    </w:p>
    <w:p>
      <w:r>
        <w:rPr>
          <w:b/>
        </w:rPr>
        <w:t>E. 4</w:t>
      </w:r>
    </w:p>
    <w:p>
      <w:r>
        <w:t>Les considérants qui précèdent conduisent au rejet du recours et à la confirmation de la décision attaquée. L’autorité intimée impartira un nouveau délai de départ à la recourante. Succombant, la recourante supportera les frais de justice. Il n’y a pas matière à allocation de dépens (cf.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