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PE.2022.0105 vom 15. Dezember 2022</w:t>
      </w:r>
    </w:p>
    <w:p>
      <w:r>
        <w:t>VD Tribunal cantonal, 2022-12-15, FR</w:t>
      </w:r>
    </w:p>
    <w:p>
      <w:r>
        <w:rPr>
          <w:b/>
        </w:rPr>
        <w:t xml:space="preserve">Quelle: </w:t>
      </w:r>
      <w:r>
        <w:t>https://mcp.opencaselaw.ch/entscheid/vd_omni_PE.2022.0105</w:t>
      </w:r>
    </w:p>
    <w:p>
      <w:r>
        <w:t>FR: VD_OMNI PE.2022.0105 du 15 décembre 2022</w:t>
      </w:r>
    </w:p>
    <w:p>
      <w:r>
        <w:t>IT: VD_OMNI PE.2022.0105 del 15 dicembre 2022</w:t>
      </w:r>
    </w:p>
    <w:p>
      <w:pPr>
        <w:pStyle w:val="Heading2"/>
      </w:pPr>
      <w:r>
        <w:t>Regeste</w:t>
      </w:r>
    </w:p>
    <w:p>
      <w:r>
        <w:t>A._________, B.________/Direction générale de l'emploi et du marché du travail (DGEM), Service de la population (SPOP) | Confirmation du refus de l'autorité du marché du travail de délivrer une autorisation de travail en faveur d'un ressortissant kosovar, engagé successivement par le même entrepreneur en qualité d’aide-menuisier–charpentier, puis installateur de panneaux photovoltaïques ayant des connaissances dans la charpente: - l'entrepreneur ne démontre pas avoir entrepris des efforts suffisants de recherche sur le marché local du travail d’un collaborateur qui connaît le travail de charpentier et maîtrise la pose et l’installation de panneaux solaires; - l'engagement de l'intéressé semble répondre avant tout à des motifs de convenance personnelle. Confirmation de l'émolument administratif mis à la charge des recourants par la décision négative.</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de la LEI ainsi qu'aux recours contre lesdites décisions. b) Interjeté en temps utile auprès de l'autorité compétente, le recours satisfait aux autres conditions formelles de recevabilité (cf. art. 79 de la loi cantonale du 28 octobre 2008 sur la procédure administrative [LPA-VD; BLV 173.36], applicable par renvoi de l'art. 99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le litige porte sur la question de savoir si c'est à bon droit que l'autorité intimée a refusé d'accorder une autorisation préalable de travail en faveur de B.________. Ce dernier est ressortissant d’un Etat avec lequel la Suisse n’est liée par aucune convention, de sorte que cette question doit être résolue au regard du droit interne exclusivement, soit la loi fédérale du 16 décembre 2005 sur les étrangers et l’intégration ([LEI; RS 142.20]; jusqu’au 31 décembre 2018: loi fédérale sur les étrangers [LEtr]) et ses ordonnances d’application.</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C-5912/2011 du 25 août 2015 consid. 8.3; C-4989/2011 du 23 janvier 2013 consid. 4.3.1; C-8717/2010 du 8 juillet 2011 consid. 6.3). Concernant les efforts de recherche de l’employeur dans le cadre de l’art. 21 LEI, les Directives LEI prévoient en particulier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références citées). » En effet,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Si le poste n’a pas été annoncé, l’autorité cantonale compétente en matière de marché du travail rejette la demande dans le cadre de la procédure d’autorisation sur la base de l’art. 21a LEI (Directives LEI, ch. 4.3.3).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arrêts PE.2020.0105 du 19 septembre 2020 consid. 3d; PE.2014.0006 du 1 er juillet 2014; PE.2006.0405 du 19 octobre 2006 et les arrêts cités). Les efforts de recrutement ne peuvent par ailleurs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(Marc Spescha, in : Migrationsrecht, Kommentar, 5 e éd., Spescha/Zünd/Bolzli/Hruschka/de Weck [édit.], Zurich 2019, p. 131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in : FF 2002 p. 3540). C'est ainsi que l'admission sera, en principe, refusée pour des postes ne requérant aucune formation particulière (cf. TAF C-5184/2014 du 31 mars 2016 consid. 5.4.1). dd) Concernant spécifiquement le domaine de la construction, les directives précitées (ch. 4.7.13.1) prévoient que l’engagement de main-d’œuvre étrangère ne relevant pas de l’ordonnance sur la libre circulation des personnes (OLCP, RS 142.203) n’est possible qu’à titre exceptionnel, dans des cas dûment motivés, et pour les activités précisées au ch. 4.7.13.2.</w:t>
      </w:r>
    </w:p>
    <w:p>
      <w:r>
        <w:rPr>
          <w:b/>
        </w:rPr>
        <w:t>E. 4</w:t>
      </w:r>
    </w:p>
    <w:p>
      <w:r>
        <w:t>En l’espèce, plusieurs objections doivent être opposées à la demande des recourants. a) Les recourants mettent en avant le fait que B.________ vient d’achever dans son pays un cours d’installateur en panneaux solaires et chauffage et y a obtenu, le 20 juin 2022, un certificat attestant de ses compétences professionnelles. On peut laisser ouverte la question de savoir si l’intéressé peut être assimilé à un travailleur qualifié, au sens où l’entend l’art. 23 al. 1 LEI. En effet, B.________ vient d’obtenir dans son pays un diplôme professionnel de monteur de panneaux solaires. On relèvera simplement que l’installation et le montage de panneaux solaires ne fait pas partie du champ d’application du ch. 4.7.13.2 des Directives LEI. Même si ces dernières n'ont pas force de loi et ne lient ni les administrés, ni les tribunaux, ni même l'administration (v. sur ce point, arrêt PE.2019.0243 du 5 mars 2020 consid. 3a/aa), on peut douter qu’il s’agisse d'une activité pour laquelle une autorisation de séjour de courte durée puisse être délivrée. De même, il n’est pas nécessaire de trancher la question de savoir si cette activité requière des connaissances ou des capacités professionnelles particulières, comme l’exige l’art. 23 al. 3 let. c LEI, de sorte que A.________ puisse, à titre exceptionnel et pour autant qu'il motive dûment sa demande, obtenir une dérogation pour engager B.________. b) A.________ ne démontre pas avoir entrepris des efforts suffisants de recherche d’un collaborateur qui connaît à la fois le travail de charpentier et maîtrise la pose et l’installation de panneaux solaires. Dans sa demande, A.________ a, certes, indiqué qu’il avait contacté l’ORP local; il n’est cependant pas démontré qu’il ait annoncé le poste vacant auprès de cet organisme. En outre, il est arrivé hâtivement à la conclusion, à l’issue de ses recherches sur le site www.arbeit.swiss.ch, qu’aucun poseur de panneaux solaires n’était qualifié. Or, il ressort du dossier de l’autorité intimée qu’au 14 juillet 2022, vingt-deux demandeurs d’emploi disposant d’une expérience en la matière étaient annoncés aux ORP du canton. Comme l’observe l’autorité intimée, A.________ aurait pu lui-même former ou faire former un candidat disponible sur le marché indigène. Peu importe à cet égard qu’une seule entreprise de travail temporaire lui ait indiqué qu’elle ne disposait pas de personnel certifié pour la pose de panneaux solaires. Ce deuxième motif exclut que la demande puisse être accueillie de manière favorable. c) Enfin, il importe de se demander sérieusement si l’engagement de B.________ ne répond pas avant tout à des motifs de convenance personnelle de A.________. En effet, l’autorité intimée a été saisie le 25 février 2022 d’une première demande concernant l’intéressé, que A.________ comptait alors engager pour l’agencement de cuisine, la menuiserie et la pose d’escaliers. Or, après le refus définitif de l’autorité intimée d’accueillir favorablement cette demande, contre lequel il n’a pas recouru, A.________ n’a pas cherché à pourvoir au poste au demeurant vacant dans son entreprise en effectuant des recherches sur le marché indigène. Il a réengagé B.________, mais pour l’exercice d’une nouvelle activité, à savoir la pose et l’installation de panneaux solaires et la connaissance du travail de charpentier. Bien qu’il explique que son entreprise est en quelque sorte contrainte à se diversifier pour rester compétitive, on ne peut s’empêcher de penser que ce réengagement tient davantage à la personne de B.________ qu’à des impératifs conjoncturels. d) L’autorité intimée n’a dès lors pas abusé du pouvoir d’appréciation qui lui est reconnu en la présente matière en refusant d'accorder une autorisation préalable de travail en faveur de B.________.</w:t>
      </w:r>
    </w:p>
    <w:p>
      <w:r>
        <w:rPr>
          <w:b/>
        </w:rPr>
        <w:t>E. 5</w:t>
      </w:r>
    </w:p>
    <w:p>
      <w:r>
        <w:t>Les recourants demandent l’annulation de l’émolument de 80 fr. mis à leur charge par l’autorité intimée. a) On rappelle qu’aux termes de l’art. 45 LPA-VD, hormis dans les cas où la loi prévoit la gratuité, les autorités peuvent percevoir un émolument et des débours en recouvrement des frais occasionnés par l'instruction et la décision. L’art. 46 al. 1 LPA_VD ajoute qu’un règlement du Conseil d'Etat fixe les frais dus en procédure administrative devant les autorités administratives cantonales. Le Conseil d'Etat a adopté sur la base de cette dernière disposition le règlement du 8 janvier 2001 fixant les émoluments en matière administrative (RE-Adm; BLV 172.55.1). Ce règlement, qui s'apparente à un tarif, liste pour chaque département les émoluments qui peuvent être perçus et précise leurs montants, soit par un montant fixe soit par une fourchette soit encore par un tarif horaire, qui varient selon les prestations ou décisions. Il prévoit, à l’art. 5 ch. 23, que le Département de l’économie et du sport (actuellement Département de l'économie, de l'innovation, de l'emploi et du patrimoine [DEIP], cf. art. 5 de l’arrêté sur la composition des départements et les noms des services de l'administration [AdésA BLV 172.215.1.1]), dont fait partie la DGEM, perçoit un émolument de 80 fr. pour une décision négative. Le principe de légalité, qui s'applique à toutes les contributions publiques, dont font partie les émoluments administratifs, apparaît dès lors comme étant respecté (v. sur ce point, arrêt FI.2021.0073 du 27 juin 2022 consid. 3a). b) La décision attaquée entre dans le champ d’application de l’art. 5 ch. 23 RE-Adm. C’est par conséquent à juste titre qu’un émolument de 80 fr. a été mis à la charge de A.________. La conclusion des recourants ne peut, dans ces conditions, qu’être rejetée.</w:t>
      </w:r>
    </w:p>
    <w:p>
      <w:r>
        <w:rPr>
          <w:b/>
        </w:rPr>
        <w:t>E. 6</w:t>
      </w:r>
    </w:p>
    <w:p>
      <w:r>
        <w:t>a) Les considérants qui précèdent conduisent par conséquent au rejet du recours et à la confirmation de la décision attaquée. b) La requête d’octroi de l’effet suspensif, qui, s’agissant d’une décision négative, s’apparente plutôt à une requête de mesures provisionnelles (cf. art. 86 LPA-VD) tendant à ce que A.________ puisse employer B.________ jusqu’à droit jugé sur le recours, est par conséquent dépourvue d’objet. c) Le sort du recours commande de mettre les frais de justice à la charge des recourants, solidairement entre eux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