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PE.2022.0088 vom 21. September 2023</w:t>
      </w:r>
    </w:p>
    <w:p>
      <w:r>
        <w:t>VD Tribunal cantonal, 2023-09-21, FR</w:t>
      </w:r>
    </w:p>
    <w:p>
      <w:r>
        <w:rPr>
          <w:b/>
        </w:rPr>
        <w:t xml:space="preserve">Quelle: </w:t>
      </w:r>
      <w:r>
        <w:t>https://mcp.opencaselaw.ch/entscheid/vd_omni_PE.2022.0088</w:t>
      </w:r>
    </w:p>
    <w:p>
      <w:r>
        <w:t>FR: VD_OMNI PE.2022.0088 du 21 septembre 2023</w:t>
      </w:r>
    </w:p>
    <w:p>
      <w:r>
        <w:t>IT: VD_OMNI PE.2022.0088 del 21 settembre 2023</w:t>
      </w:r>
    </w:p>
    <w:p>
      <w:pPr>
        <w:pStyle w:val="Heading2"/>
      </w:pPr>
      <w:r>
        <w:t>Regeste</w:t>
      </w:r>
    </w:p>
    <w:p>
      <w:r>
        <w:t>A.________/Direction générale de l'emploi et du marché du travail - DGEM, Service de la population (SPOP) | Confirmation du refus d'octroi d'une autorisation d’exercer une activité lucrative indépendante à la recourante qui a créé une entreprise individuelle dans le domaine du nettoyage. Notion d'"intérêts économiques du pays" au sens des art. 18 ss LEI.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En l'occurrence, l’activité lucrative indépendante exercée par la recourante dans le domaine du nettoyage, de l'entretien des locaux, du nettoyage de vitres, de paquets et de cuisines ne présente pas un intérêt public et économique important pour le canton. Rejet du recours, compte tenu du large pouvoir d'appréciation de l'autorité intimée.</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notamment, de la LEI, ainsi qu'aux recours contre lesdites décisions. Aux termes de l'art. 92 LPA-VD,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SDE. b) Déposé dans le délai prévu par la LPA-VD par une personne touchée par la décision attaquée, le recours satisfait en outre aux autres conditions formelles de recevabilité si bien qu'il convient d'entrer en matière sur le fond (art. 75, 79, 95 et 99 LPA-VD).</w:t>
      </w:r>
    </w:p>
    <w:p>
      <w:r>
        <w:rPr>
          <w:b/>
        </w:rPr>
        <w:t>E. 2</w:t>
      </w:r>
    </w:p>
    <w:p>
      <w:r>
        <w:t>En premier lieu, la recourante invoque un motif d'ordre formel, à savoir la motivation insuffisante de la décision attaquée s’agissant du refus de lui délivrer une autorisation d’exercer une activité lucrative indépendante. Elle en déduit son droit d'être entendu en aurait ainsi été violé. a) D’après l'art. 42 al. 1 LPA-VD, la décision contient notamment l'indication des faits, des règles juridiques et des motifs sur lesquels elle s'appuie (let. c). L’art. 29 al. 2 de la Constitution fédérale de la Confédération Suisse du 18 avril 1999 (Cst.; RS 101) et l'art. 27 al. 2 de la Constitution du Canton de Vaud du 14 avril 2003 (Cst-VD; BLV 101.01) garantissent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 3.1 p. 564; 135 I 279 consid. 2.3 p. 282; 135 II 286c consid. 5.1 p. 293; 132 V 368 consid. 3.1 p. 370). La jurisprudence a en outre précisé qu'une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142 II 218 consid. 2.8.1 p. 226; 137 I 195 consid. 2.3.2 p. 197). b) En l’espèce, le SDE a indiqué dans la décision attaquée que suite à l'examen de la requête de la recourante, bien que l'activité soit digne d'intérêt, elle ne remplissait cependant pas la condition relative aux intérêts économiques. En outre, il ne s'agissait  pas d'activités permettant de se diversifier de l'offre déjà présente. Ce faisant, la recourante a pu comprendre les motifs qui ont guidé l'autorité à rejeter sa requête; elle a pu se rendre compte de la portée de la décision et l'attaquer en connaissance de cause. Ce grief d'ordre formel doit dès lors être rejeté.</w:t>
      </w:r>
    </w:p>
    <w:p>
      <w:r>
        <w:rPr>
          <w:b/>
        </w:rPr>
        <w:t>E. 3</w:t>
      </w:r>
    </w:p>
    <w:p>
      <w:r>
        <w:t>A titre de mesure d’instruction, la recourante a requis son audition par le tribunal. En outre, dans sa dernière écriture elle requiert la "comparution personnelle" de l'époux de la recourante "à titre de personne appelée à donner des renseignements". a) Comme rappelé au consid. 2 ci-dessus, le droit d'être entendu garanti par les art. 29 al. 2 Cst. et 27 al. 2 Cst-VD comprend notamment le droit pour l'intéressé de s'exprimer sur les éléments pertinents avant qu'une décision ne soit prise touchant sa situation juridique. Devant la CDAP, la procédure est en principe écrite (art. 27 al. 1 LPA- 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1C_68/2019 du 18 octobre 2019 consid. 2.1; CDAP PE.2019.0034 du 9 décembre 2019 consid. 2a). b) Dans le cas d’espèce, la CDAP ne voit pas quels éléments déterminants pour l’issue du litige – qui n’auraient pas pu être exposés par écrit – l’audition de la recourante serait susceptible d’apporter; la cour considère au contraire que cette audition ne serait pas de nature à modifier la conviction qu’elle s’est forgée sur la base des pièces au dossier. Il sied en outre de relever que la recourante a déposé plusieurs écritures et des pièces au fil de l'instruction du présent recours; elle a ainsi eu l'occasion de s'exprimer sur l'ensemble des faits de la cause et de développer ses motifs de recours et moyens juridiques. En outre, la situation de son époux a également fait l'objet de procédures devant le SEM et le TAF dont le résultat figure au dossier de la présente cause. Dans la mesure où la situation de ce dernier fait l'objet d'une documentation abondante au dossier, il n'y a pas lieu de procéder à l'audition ni de la recourante ni de son époux dans le cadre de la présente procédure.</w:t>
      </w:r>
    </w:p>
    <w:p>
      <w:r>
        <w:rPr>
          <w:b/>
        </w:rPr>
        <w:t>E. 4</w:t>
      </w:r>
    </w:p>
    <w:p>
      <w:r>
        <w:t>Le litige porte sur le point de savoir si le SDE était fondé à refuser à la recourante une autorisation d’exercer une activité lucrative indépendante.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Ressortissante du Kosovo, la recourante ne peut se prévaloir d'aucun traité liant son pays d'origine à la Suisse, de sorte que sa situation doit s'examiner à la seule lumière du droit interne, soit de la LEI et de l'ordonnance du 24 octobre 2007 relative à l’admission, au séjour et à l’exercice d’une activité lucrative (OASA; RS 142.201). En l’état, la recourante se trouve en Suisse depuis 2019 au bénéfice d'un titre de séjour dérivé du droit de séjour de son époux. Or, ce dernier a vu ce droit révoqué par le SEM ce que le TAF a jugé une première fois par arrêt du 1 er novembre 2021, puis sur requête de réexamen en date du 9 juin 2023. Compte tenu de ces éléments, l'époux de la recourante ne dispose plus d'un titre de séjour en Suisse. A tout le moins, celle-ci n'indique pas dans ses dernières écritures qu'il serait au bénéfice d'une telle autorisation. Elle revient en effet sur les différentes procédures concernant son époux en soutenant que la procédure de révocation serait éventuellement viciée mais tout en convenant que désormais les décisions étaient entrées en force.  Il y a ainsi lieu de considérer que le droit dérivé de la recourante qui a présidé à l'octroi d'une autorisation de séjour ensuite de son mariage est désormais éteint; elle réside donc à ce jour en Suisse sans titre de séjour lui conférant le droit d’exercer une activité lucrative. b) En vertu de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Dans le canton de Vaud, cette compétence est attribuée au SDE en vertu de l’art. 64 al. 1 let. a LEmp. L’autorisation de séjour relève de la compétence du SPOP en application de l’art. 3 al. 1 ch. 1 et 2 de la loi du 18 décembre 2007 d’application dans le Canton de Vaud de la loi fédérale sur les étrangers et l’intégration (LVLEI; BLV 142.11). Si la demande d’autorisation de séjour ne se fonde pas sur un autre motif que l’exercice d’une activité lucrative, le SPOP est lié par le refus du SDE, conformément à la jurisprudence constante (cf. notamment PE.2021.0029 du 2 août 2021 consid. 2b ; PE.2020.0065 du 12 février 2021 consid. 5; PE.2018.0506 du 8 novembre 2019 consid. 4a ; PE.2018.0220 du 8 janvier 2019 consid. 3a; PE.2017.0524 du 14 mars 2018 consid. 2a; PE.2017.0403 du 30 janvier 2018 consid. 2a). 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 teneur de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Selon la jurisprudence, lorsque l'associé d'une raison de commerce disposant de la grande majorité des parts de celle-ci est seul gérant et titulaire de la signature individuelle, l'on ne saurait voir un lien de subordination entre celui-ci et la société pour laquelle il travaille, de sorte qu'il doit être considéré comme un indépendant et non pas comme un "travailleur" (PE.2021.0029 du 2 août 2021 consid. 2b ; PE.2020.0177 du 19 février 2021 consid. 3c ; PE.2018.0047 du 12 novembre 2018 consid. 2a et les références de jurisprudence citées). c) Aux termes de l'art. 18 LEI, un étranger peut être admis en vue de l'exercice d'une activité lucrative salariée aux conditions suivantes: son admission sert les intérêts économiques du pays (let. a); son employeur a déposé une demande (let. b); les conditions fixées aux art. 20 à 25 LEI sont remplies (let. c). L'art. 19 LEI dispose qu'un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des art. 20 et 23 à 25 LEI sont remplies (let. d). Ni l'art. 18 LEI, ni l'art. 19 LEI ne confèrent à l'étranger de droit absolu à la délivrance d'une autorisation de prise d’un emploi salarié ou en qualité d’indépendant. Les autorités ont dans cette mesure un large pouvoir d’appréciation (cf. Peter Uebersax in: Nguyen/Amarelle, Code annoté de droit des migrations, vol. II, Loi sur les étrangers, Berne 2017, n. 10 ad art. 18 LEtr et n. 3 ad art. 19 LEtr; Marc Spescha in: Spescha/Zünd/Bolzli/Hruschka/de Weck, Migrationsrecht, 5 e éd., Zurich 2019, n. 1 et 2 ad Vorbemerkungen zu Art. 18-26 AIG [LEI]; cf. également arrêts CDAP PE.2017.0493 du 13 juillet 2018 consid. 5a; PE.2017.0450 du 5 mars 2018 consid. 4a). En revanche, qu'il s'agisse d'une activité salariée ou d'une activité indépendante, les art. 18 et 19 LEI retiennent tous deux que le critère de "servir les intérêts économiques de la Suisse" doit être rempli. Selon l'art. 20 LEI, le Conseil fédéral peut limiter le nombre d'autorisations de séjour initiales octroyées en vue de l'exercice d'une activité lucrative (al. 1). Il peut fixer un nombre maximum d'autorisations pour la Confédération et pour chaque canton (al. 2). En vertu de l'art. 20 al. 1 OASA, les cantons peuvent délivrer des autorisations de séjour dans les limites des nombres maximums fixés à l'annexe 2 ch. 1 let. a, à savoir au maximum 111 autorisations pour le Canton de Vaud du 1 er janvier au 31 décembre 2022. Quant aux art. 21 et 23 LEI, ils sont formulés comme suit: " Art. 21 Ordre de priorité 1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2 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 3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 Art. 23 Qualifications personnelles 1 Seuls les cadres, les spécialistes ou autres travailleurs qualifiés peuvent obtenir une autorisation de courte durée ou de séjour. 2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3 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d) La notion d'" intérêts économiques du pays " retenue expressément aux art. 18, 19 et 20 LEI (cf. également art. 3 al. 1 LEI), de même que dans une formulation légèrement différente aux art. 21 et 23 LEI, est énoncée de façon ouverte. Elle concerne au premier chef le domaine du marché du travail (cf. Message du Conseil fédéral du 8 mars 2002 concernant la loi sur les étrangers, FF 2002 3469, p. 3485).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PE.2018.0151 du 23 juillet 2018 consid. 1b; Marc Spescha/Peter Bolzli/Fanny de Weck/Valerio Priuli, Handbuch zum Migrationsrecht, 4 e éd., Zurich 2020, p. 202 à 204; Spescha, in: Spescha/Zünd/Bolzli/Hruschka/de Weck, op. cit., n. 1 ad art. 18 LEI; Peter Uebersax, in: Nguyen/Amarelle, op. cit., n. 25 ad art. 18 LEtr). Selon les "Directives et commentaires, I. Domaine des étrangers, chapitre 4 séjour avec activité lucrative" du Secrétariat d’Etat aux migrations (Directives LEI [dans leur version du 1 er février 2023]), lors de l'appréciation du cas, il convient de tenir compte en particulier de la situation sur le marché du travail, de l'évolution économique durable et de la capacité de l'étranger concerné de s'intégrer. Il ne s’agit pas de créer et maintenir une infrastructure avec une main-d’œuvre peu qualifiée disposée à travailler pour de bas salaires, ni de soutenir des intérêts particuliers (ch. 4.3.1). S'agissant plus spécifiquement des demandes d'autorisation en vue d'implanter en Suisse une entreprise ou de développer une activité indépendante, le ch. 4.7.2.1 des Directives LEI rappelle que l'on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(cf. arrêts du TAF C-2485/2011 du 11 avril 2013, C-7286/2008 du 9 mai 2011 et C-6135/2008 du 11 août 2011). Au chiffre 4.7.2.2 des Directives LEI, il est précisé qu'en cas d'octroi, les autorisations idoines seront, dans une première phase (création et édification de l’entreprise), délivrées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LEI; cf. arrêts du TAF C-2485/2011 du 11 avril 2013 et C-6135/2008 du 11 août 2011).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(cf. Uebersax, op. cit., n. 11 ad art. 19 aLEtr; Spescha in: Spescha/Zünd/Bolzli/Hruschka/de Weck, op. cit., n. 1 ad art. 19 LEI; cf. également arrêts CDAP PE.2017.0493 du 13 juillet 2018 consid. 5a; PE.2017.0450 du 5 mars 2018 consid. 4a). Afin de permettre à l'autorité d'examiner les conditions financières et les exigences liées à l'exploitation de l'entreprise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LEI, ch. 4.7.2.3; arrêts PE.2017.0493 du 13 juillet 2018 consid. 5a; PE.2017.0450 du 5 mars 2018 consid. 4a; PE.2015.0184 du 13 octobre 2015 consid. 4d). e) L’art. 23 LEI permet d'accorder des autorisations de séjour en vue de l'exercice d'une activité lucrative dans des domaines pointus nécessitant des compétences spécifiques. Les Directives LEI exposent, au ch. 4.3.5, que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w:t>
      </w:r>
    </w:p>
    <w:p>
      <w:r>
        <w:rPr>
          <w:b/>
        </w:rPr>
        <w:t>E. 5</w:t>
      </w:r>
    </w:p>
    <w:p>
      <w:r>
        <w:t>En l’occurrence, le SDE a considéré que l’activité lucrative indépendante exercée par la recourante dans le domaine du nettoyage, de l'entretien des locaux, du nettoyage de vitres, de paquets et de cuisines ne présentait pas un intérêt public et économique important pour le canton. L'autorité intimée a retenu que le développement de l'activité exercée par la recourante entrerait au surplus en concurrence avec des acteurs économiques locaux. Cette activité ferait face en outre à une très forte concurrence sur le marché local et suisse sans possibilité pour la recourante de diversifier son offre. Il y a lieu de rappeler que la délivrance de l'autorisation requise repose sur le pouvoir d'appréciation de l'autorité du marché du travail; ainsi, l'autorité de céans n'intervient que si cette appréciation est abusive ou excessive (PE.2018.0087 du 19 novembre 2018 consid. 5c; PE.2017.0493 du 13 juillet 2018 consid. 5c; PE.2015.0335 du 30 novembre 2015 consid. 2b). La recourante est une entreprise individuelle qui, selon l’extrait du registre du commerce, est active dans le nettoyage. Elle met en avant une structure tarifaire qu'elle qualifie d'attrayante et soutient que cela lui permet d'offrir des prestations concurrentielles. Elle invoque également son business plan selon lequel la croissance du chiffre d'affaires jusqu'en 2026 permettra de donner de l'emploi à plusieurs personnes en sus des cinq employés fixes qu'elle salarie déjà. Il n'empêche que ce faisant la recourante ne démontre aucunement en quoi les prestations qu'elle offre devrait être associées à des effets utiles pour l'économie suisse. Elle ne montre pas non plus que les prestations de son entreprise se distingueraient fondamentalement de celles fournies par d’autres sociétés existantes, ni qu’elles répondraient de manière avérée à un besoin non couvert jusqu’à présent. Par conséquent, même si l’évolution de la clientèle de l’entreprise recourante pouvait lui permettre d’employer plusieurs collaborateurs, ses activités ne présenteraient pas pour autant un intérêt économique important pour le canton de Vaud, ni pour la Suisse en général puisque l’impact de dites activités ne serait que marginal en matière de création immédiate d’emplois et de retombées financières, la recourante n’ayant pas démontré, preuves à l’appui, le contraire, se contentant d’alléguer que les activités déployées seraient de nature à générer un chiffre d’affaires important et des places de travail pour plus de cinq employés. Ce n'est pas tant le chiffre d'affaires réalisé ou le nombre de personnes salariées qui détermine si l'activité indépendante proposée est dans l'intérêt économique de la Suisse. C'est bien plus, à ce stade, la nature et le type de l'activité économique qui est importante, respectivement la branche économique à laquelle elle appartient. Or, aussi innovante en termes tarifaires que l'entreprise de la recourante soit, elle s'inscrit, comme l'a retenu l'autorité intimée, dans un secteur d'activité qui ne présente pas d'intérêt pour la Suisse et dans lequel aucune pénurie d'entreprises prestataires de services n'est démontrée. Force est ainsi de constater que les griefs de la recourante doivent être rejetés. La condition de l'intérêt économique découlant de l’art. 19 let. a LEI n’étant pas remplie, il n'y a pas lieu d'examiner si les autres conditions prévues par cette disposition sont réalisées. La décision de refus du SDE ne prête donc pas le flanc à la critique. Par surabondance, il y a lieu de souligner que la recourante ne remplit pas non plus les conditions de l’art. 23 al. 1 LEI, qui concerne les cadres, spécialistes et autres travailleurs qualifiés, ni celles permettant, selon l’art. 23 al. 3 LEI, de déroger à l’exigence de qualifications personnelles. La recourante n’occupe aucune des fonctions mentionnées à l’art. 23 al. 3 let. a, b, d et e LEI, étant précisé qu'on ne saurait considérer au vu de ce qui précède que l'admission de la prénommée répondrait de manière avérée à un besoin. Dans ces circonstances, la décision du SDE de ne pas octroyer à la recourante d’autorisation pour exercer une activité en qualité d’indépendante, en puisant dans les unités réduites à disposition du Canton de Vaud (111 unités pour 2022) selon l’annexe 2 à l’OASA, ne résulte pas d’un abus de son pouvoir d’appréciation.</w:t>
      </w:r>
    </w:p>
    <w:p>
      <w:r>
        <w:rPr>
          <w:b/>
        </w:rPr>
        <w:t>E. 6</w:t>
      </w:r>
    </w:p>
    <w:p>
      <w:r>
        <w:t>Les considérants qui précèdent conduisent au rejet du recours et à la confirmation de la décision attaquée. Vu le sort de la cause, un émolument de justice, fixé à 600 fr., est mis à la charge de la recourante, qui succombe (art. 49 al. 1 et 2 LPA-VD et art. 4 al. 1 du tarif des frais judiciaires et des dépens en matière administrative du 28 avril 2015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