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PE.2022.0005 vom 24. Januar 2022</w:t>
      </w:r>
    </w:p>
    <w:p>
      <w:r>
        <w:t>VD Tribunal cantonal, 2022-01-24, FR</w:t>
      </w:r>
    </w:p>
    <w:p>
      <w:r>
        <w:rPr>
          <w:b/>
        </w:rPr>
        <w:t xml:space="preserve">Quelle: </w:t>
      </w:r>
      <w:r>
        <w:t>https://mcp.opencaselaw.ch/entscheid/vd_omni_PE.2022.0005</w:t>
      </w:r>
    </w:p>
    <w:p>
      <w:r>
        <w:t>FR: VD_OMNI PE.2022.0005 du 24 janvier 2022</w:t>
      </w:r>
    </w:p>
    <w:p>
      <w:r>
        <w:t>IT: VD_OMNI PE.2022.0005 del 24 gennaio 2022</w:t>
      </w:r>
    </w:p>
    <w:p>
      <w:pPr>
        <w:pStyle w:val="Heading2"/>
      </w:pPr>
      <w:r>
        <w:t>Regeste</w:t>
      </w:r>
    </w:p>
    <w:p>
      <w:r>
        <w:t>A.________/Service de la population (SPOP) | Confirmation du prononcé de renvoi rendu à l'égard d'un ressortissant serbe qui réside en Suisse sans être au bénéfice d'un visa. Bien qu'il fasse état d'un cas de rigueur, l'intéressé n'a pas requis la délivrance d'une autorisation de séjour. Il ne démontre pas que son renvoi vers son pays d'origine serait illicite ou pas raisonnablement exigible. Recours rejeté.</w:t>
      </w:r>
    </w:p>
    <w:p>
      <w:pPr>
        <w:pStyle w:val="Heading2"/>
      </w:pPr>
      <w:r>
        <w:t>Erwägungen</w:t>
      </w:r>
    </w:p>
    <w:p>
      <w:r>
        <w:rPr>
          <w:b/>
        </w:rPr>
        <w:t>E. 1</w:t>
      </w:r>
    </w:p>
    <w:p>
      <w:r>
        <w:t>La décision du SPOP, fondée sur les art. 64 ss de la loi fédérale du 16 décembre 2005 sur les étrangers et l'intégration (LEI; RS 142.20), ne sont pas susceptibles de faire l'objet d'une opposition (art. 34a de la loi d'application dans le Canton de Vaud de la loi fédérale sur les étrangers et l'intégration [LVLEtr, BLV 142.11] a contrario). Elle peut dès lors faire l’objet d’un recours de droit administratif devant le Tribunal cantonal au sens des art. 92 ss de la loi vaudoise du 28 octobre 2008 sur la procédure administrative (LPA-VD; BLV 173.36). Le recours a été formé dans le délai de cinq jours ouvrables prévu à l’art. 64 al. 3 LEI et il satisfait aux conditions formelles de recevabilité de l’art. 79 al. 1 LPA-VD, applicable par renvoi de l’art. 99 LPA-VD. Il y a donc lieu d’entrer en matière.</w:t>
      </w:r>
    </w:p>
    <w:p>
      <w:r>
        <w:rPr>
          <w:b/>
        </w:rPr>
        <w:t>E. 2</w:t>
      </w:r>
    </w:p>
    <w:p>
      <w:r>
        <w:t>La décision attaquée prononce le renvoi de Suisse du recourant en application de l'art. 64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L'art. 5 LEI (auquel renvoie l'art. 64 al. 1 let. b LEI) prévoit que, pour entrer en Suisse, tout étranger doit notamment avoir une pièce de légitimation reconnue pour le passage de la frontière et être muni d'un visa si ce dernier est requis (let. a) et disposer des moyens financiers nécessaires à son séjour (lit. b). D’après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est réservé (al. 2). Selon cette disposition, l’autorité cantonale compétente peut autoriser l’étranger à séjourner en Suisse durant la procédure si les conditions d’admission sont manifestement remplies. b) En l'espèce, l’autorité intimée a fondé le renvoi de Suisse du recourant, notamment sur l’absence de titre de séjour valable (art. 64 al. 1 let. a et b LEI). Elle ne s’est en revanche pas prononcée sur l’octroi d’une autorisation de séjour, n’ayant pas été saisie d’une telle demande. En application de l’art. 79 al. 2 LPA-VD, le recourant ne peut pas prendre des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2021, 2 ème éd., ch. 3.1 ad art. 79 LPA-VD). Le litige porte donc uniquement sur le renvoi de Suisse du recourant, objet de la décision attaquée. Les conclusions et griefs relatifs à l’octroi d’un titre de séjour pour cas de rigueur excèdent par conséquent l’objet du litige et le recours est irrecevable sur ce point. Si le recourant entend obtenir la délivrance d’une autorisation de séjour en Suisse, il lui incombe d’adresser une demande en ce sens à l’autorité compétente, étant rappelé qu’une telle demande doit être effectuée avant d’entrer en Suisse et que l’étranger doit en principe attendre la décision à l’étranger (art. 10 al. 2 et 17 al. 1 LEI). Il n'est par ailleurs pas contesté que le recourant ne dispose d'aucun titre de séjour en Suisse, où il réside selon ses propres déclarations depuis mars 2020. Le recourant ne dispose en effet pas d'un visa. Enfin, il ne ressort pas du dossier, et le recourant ne le prétend pas, qu'il aurait déposé une demande tendant à la délivrance d'une autorisation de séjour de quelque type que ce soit. La décision de renvoi du recourant prise par l'autorité intimée est ainsi pleinement justifiée au regard de l'art. 64 al. 1 let. a et b LEI, sans qu'il ne soit nécessaire d'examiner si la récente condamnation du recourant peut constituer un motif supplémentaire de renvoi. Il est donc sans incidence que le recourant n'ait pas eu connaissance de l'ordonnance pénale prononcée contre lui comme il le soutient en procédure. Quoi qu'il en soit, il lui était loisible de consulter le dossier de l'autorité intimée. La décision attaquée doit ainsi être confirmée dans son principe. Elle doit également l'être s'agissant du délai de départ dont elle est assortie, lequel respecte le délai minimal de sept jours prévu par l'art. 64d al. 1 LEI. Aucune circonstance particulière au sens de l'art. 64d al. 1 in fine LEI ne commandait qu'un délai de départ plus long lui soit imparti pour quitter le territoire hélvétique. Le recourant ne fait pour le surplus valoir aucun motif pour lequel son renvoi dans le pays dont il est ressortissant serait illicite, impossible ou inexigible, conformément à l'art. 83 LEI.</w:t>
      </w:r>
    </w:p>
    <w:p>
      <w:r>
        <w:rPr>
          <w:b/>
        </w:rPr>
        <w:t>E. 3</w:t>
      </w:r>
    </w:p>
    <w:p>
      <w:r>
        <w:t>Manifestement dénué de chance de succès, le recours est traité selon la procédure simplifiée de l'art. 82 LPA-VD, sans échange d'écritures, sur la base du dossier produit par le SPOP et avec une motivation sommaire.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