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PE.2022.0001 vom 13. Juli 2022</w:t>
      </w:r>
    </w:p>
    <w:p>
      <w:r>
        <w:t>VD Tribunal cantonal, 2022-07-13, FR</w:t>
      </w:r>
    </w:p>
    <w:p>
      <w:r>
        <w:rPr>
          <w:b/>
        </w:rPr>
        <w:t xml:space="preserve">Quelle: </w:t>
      </w:r>
      <w:r>
        <w:t>https://mcp.opencaselaw.ch/entscheid/vd_omni_PE.2022.0001</w:t>
      </w:r>
    </w:p>
    <w:p>
      <w:r>
        <w:t>FR: VD_OMNI PE.2022.0001 du 13 juillet 2022</w:t>
      </w:r>
    </w:p>
    <w:p>
      <w:r>
        <w:t>IT: VD_OMNI PE.2022.0001 del 13 luglio 2022</w:t>
      </w:r>
    </w:p>
    <w:p>
      <w:pPr>
        <w:pStyle w:val="Heading2"/>
      </w:pPr>
      <w:r>
        <w:t>Regeste</w:t>
      </w:r>
    </w:p>
    <w:p>
      <w:r>
        <w:t>A.________ /Direction générale de l'emploi et du marché du travail - DGEM, Service de la population (SPOP), B.________ | Recours contre une décision du SDE refusant d'accorder une autorisation de travail comme cuisinier en faveur d'un ressortissant indien. Démarches de l'employeur pour attribuer le poste à un demandeur d'emploi sur le marché indigène insuffisantes et déployées en temps inopportun. Travailleur ne disposant pas des qualifications professionnelles requises. Recours rejeté.</w:t>
      </w:r>
    </w:p>
    <w:p>
      <w:pPr>
        <w:pStyle w:val="Heading2"/>
      </w:pPr>
      <w:r>
        <w:t>Erwägungen</w:t>
      </w:r>
    </w:p>
    <w:p>
      <w:r>
        <w:rPr>
          <w:b/>
        </w:rPr>
        <w:t>E. 1</w:t>
      </w:r>
    </w:p>
    <w:p>
      <w:r>
        <w:t>let. a, 79, 95, 96 al. 1 let. c et 99 LPA-VD).</w:t>
      </w:r>
    </w:p>
    <w:p>
      <w:r>
        <w:rPr>
          <w:b/>
        </w:rPr>
        <w:t>E. 2</w:t>
      </w:r>
    </w:p>
    <w:p>
      <w:r>
        <w:t>Le litige porte sur la question de savoir si c'est à bon droit que le SDE a refusé de délivrer l'autorisation de travail sollicitée par A.________ en faveur de B.________. a) La LEI s’applique aux étrangers dans la mesure où leur statut juridique n’est pas réglé par d’autres dispositions du droit fédéral ou par des traités internationaux conclus par la Suisse (art. 2 al. 2 LEI). En l'espèce, à défaut d’accord entre la Suisse et l’Inde sur la libre circulation des travailleurs, la question s’examine exclusivement au regard du droit interne, soit la LEI et ses ordonnances d'application. b) Selon l'art. 18 LEI, un étranger peut être admis en vue de l'exercice d'une activité lucrative à condition que son admission serve les intérêts économiques du pays, que son employeur ait déposé une demande et que les conditions fixées aux art. 20 à 25 LEI soient remplies. aa)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cet égard, les directives du Secrétariat d’Etat aux migrations (SEM) dans le domaine des étrangers, dans leur version actualisée au 1 er mars 2022 (ci-après: directives LEI), prévoient ce qui suit (ch. 4.3.2.1 et 4.3.2.2):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(parmi d’autres arrêts CDAP PE.2021.0140 du 14 mars 2022 et les arrêts cités; PE.2021.0171 du 29 décembre 2021 consid. 2b; PE.2020.0233 du 12 août 2021 consid. 2a). bb) Selon l’art. 23 al. 1 LEI, seuls les cadres, les spécialistes ou autres travailleurs qualifiés peuvent obtenir une autorisation de courte durée ou de séjour. En dérogation à cette disposition, l’art. 23 al.</w:t>
      </w:r>
    </w:p>
    <w:p>
      <w:r>
        <w:rPr>
          <w:b/>
        </w:rPr>
        <w:t>E. 3</w:t>
      </w:r>
    </w:p>
    <w:p>
      <w:r>
        <w:t>Il découle des considérants qui précèdent que le recours, mal fondé, doit être rejeté et la décision du SDE confirmée. Vu le sort de la cause, les frais de justice sont mis à la charge du recourant et il n'est pas alloué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