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PE.2021.0182 vom 23. August 2022</w:t>
      </w:r>
    </w:p>
    <w:p>
      <w:r>
        <w:t>VD Tribunal cantonal, 2022-08-23, FR</w:t>
      </w:r>
    </w:p>
    <w:p>
      <w:r>
        <w:rPr>
          <w:b/>
        </w:rPr>
        <w:t xml:space="preserve">Quelle: </w:t>
      </w:r>
      <w:r>
        <w:t>https://mcp.opencaselaw.ch/entscheid/vd_omni_PE.2021.0182</w:t>
      </w:r>
    </w:p>
    <w:p>
      <w:r>
        <w:t>FR: VD_OMNI PE.2021.0182 du 23 août 2022</w:t>
      </w:r>
    </w:p>
    <w:p>
      <w:r>
        <w:t>IT: VD_OMNI PE.2021.0182 del 23 agosto 2022</w:t>
      </w:r>
    </w:p>
    <w:p>
      <w:pPr>
        <w:pStyle w:val="Heading2"/>
      </w:pPr>
      <w:r>
        <w:t>Regeste</w:t>
      </w:r>
    </w:p>
    <w:p>
      <w:r>
        <w:t>A.________ /Service de la population (SPOP) | Confirmation de la décision rendue sur réclamation par le SPOP, refusant d'octroyer une autorisation de séjour à la recourante pour cas individuel d'une extrême gravité. La recourante a séjourné une première fois en Suisse au bénéfice d'une autorisation de séjour de courte durée pour traitement médical. Elle est revenue en Suisse en 2015 munie d'un visa touristique et n'a plus quitté le pays. Un séjour illégal n'est pas un élément constitutif d'un cas personnel d'extrême gravité. Par ailleurs, la recourante ne devrait pas rencontrer de difficultés insurmontables pour se réintégrer dans son pays d'origine, où elle a vécu jusqu'à l'âge de 40 ans. Recours rejeté.</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de la loi du 28 octobre 2008 sur la procédure administrative [LPA-VD ; BLV 173.36]). Déposé dans le délai légal par la destinataire de la décision attaquée, le recours satisfait de plus aux exigences formelles prévues par la loi (art. 95 et 75, 79 et 99 LPA-VD). Il y a donc lieu d'entrer en matière sur le fond.</w:t>
      </w:r>
    </w:p>
    <w:p>
      <w:r>
        <w:rPr>
          <w:b/>
        </w:rPr>
        <w:t>E. 2</w:t>
      </w:r>
    </w:p>
    <w:p>
      <w:r>
        <w:t>La recourante conteste le refus du SPOP de lui octroyer une autorisation de séjour pour cas de rigueur. Elle estime que la durée de son séjour, sa situation professionnelle ainsi que son intégration sociale justifient de lui octroyer l'autorisation requise. 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l'art. 2 al. 1 de la LEI, celle-ci s'applique aux étrangers dans la mesure où leur statut juridique n'est pas réglé par d'autres dispositions du droit fédéral ou par des traités internationaux conclus par la Suisse. En l’espèce, la recourante est ressortissante de Colombie, soit d’un Etat tiers, elle ne peut donc pas se prévaloir d’un accord d’établissement entre son pays d’origine et la Suisse, de sorte qu’il convient d’examiner son recours au regard de la LEI et de ses ordonnances d’application , ainsi qu’en vertu des garanties conférées par la Constitution ou le droit international. aa) L'art. 30 al. 1 let. b LEI prévoit qu'il est possible de déroger aux conditions d'admission (art. 18 à 29 LEI) dans le but notamment de tenir compte des cas individuels d'une extrême gravité. L'art. 31 OASA précise cette notion comme il suit: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Les critères d'intégration définis à l'art 58a al. 1 LEI, disposition à laquelle renvoie l'art. 31 al. 1 let. a OASA sont les suivants: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bb) De jurisprudence constante, les conditions auxquelles la reconnaissance d'un cas individuel d'extrême gravité est soumise doivent être appréciées de manière restrictive. L'étranger doit se trouver dans un cas de détresse personnelle. Il ne suffit pas que, comme d'autres compatriotes appelés à rentrer dans son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130 II 39 consid. 2; 124 II 10 consid. 3 ; parmi d’autres arrêts CDAP PE.2021.0077 du 28 mars 2022 consid. 4a ; PE.2020.0230 du 17 juin 2021 consid. 2a ; PE.2020.0065 du 12 février 2021 consid. 3a et les arrêts cités). Le Tribunal fédéral a en particulier précisé que les relations de travail, d’amitié ou de voisinage que l’étranger a pu nouer pendant son séjour ne constituent normalement pas des liens si étroits avec la Suisse qu’ils justifieraient à eux seuls l’octroi d’une autorisation de séjour (ATF 130 II 39 consid. 3). La longue durée d'un séjour en Suisse n'est par ailleurs pas non plus, à elle seule, un élément constitutif d'un cas personnel d'extrême gravité dans la mesure où ce séjour est illégal. Sinon, l'obstination à violer la législation en vigueur serait en quelque sorte récompensée; cela reviendrait à admettre contre tout bon sens que l’addition d’années de séjour illégal équivaut au droit d’obtenir une autorisation de séjour (TF 2C_302/2019 du 1 er avril 2019 consid. 4.2).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(ATF 130 II 39 consid. 3; 128 II 200 consid. 4; parmi d’autres arrêts PE.2020.0065 du 12 février 2021 consid. 2a et les arrêts cités).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2C_621/2015 du 11 décembre 2015 consid. 5.2.1; 2C_721/2010 du 8 mars 2011 consid. 2.1; 2C_759/2010 du 28 janvier 2011 consid. 5.2.1 in fine). cc)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 cf . ATF 138 II 393 consid. 3.1 et 137 II 345 consid. 3.2.1; PE.2019.0457 du 25 novembre 2020 consid. 4b/aa). Les autorités disposent donc d'un large pouvoir d'appréciation dans le cadre de la présente cause. b) En l’espèce, la recourante a séjourné une première fois en Suisse du 29 décembre 2010 au 25 septembre 2011, de manière légale. Puis, elle est revenue en Suisse en 2015, munie d’un visa touristique, et n’est plus repartie. Or, ce séjour de presque sept ans l’a été dans l’illégalité, de même que son activité lucrative, ce qui implique qu’il ne constitue pas un élément militant en faveur de la reconnaissance d’un cas de rigueur. Ce constat révèle en outre que la recourante, pourtant consciente qu'elle ne pouvait séjourner et travailler en Suisse sans autorisation, a persisté à contrevenir à l'ordre juridique suisse en demeurant sur le sol helvétique pour y travailler sans avoir requis ou bénéficié des autorisations idoines. Le Tribunal ne doute pas des qualités sociales et professionnelles de la recourante, attestées par des courriers de soutien versés au dossier, et constate qu'elle n'a pas de dettes ni ne fait l'objet de poursuites. Si ces éléments sont louables et démontrent que la recourante s'est efforcée de s'intégrer dans notre pays, ils correspondent néanmoins à la conduite que l'on peut légitimement attendre de toute personne qui vit en Suisse. Il est en outre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(TAF F-6193/2019 du 26 avril 2021 consid. 6.7 et les réf. citées). En d'autres termes, ils ne permettent pas de conclure que l'intégration de la recourante serait particulièrement poussée, ni qu'elle entretiendrait des liens à ce point étroits avec la Suisse que son renvoi l'exposerait à une situation excessivement rigoureuse. Du point de vue personnel et familial, la recourante, âgée de 48 ans, est célibataire et reconnaît qu’elle est en bonne santé. Ses parents ainsi que ses six frères et sœurs vivent en Colombie. Elle dispose dès lors d’attaches familiales importantes et étroites dans son pays d'origine, susceptibles de faciliter sa réintégration sociale. Il en résulte que, contrairement à ses allégations, elle sera manifestement en mesure de se réintégrer dans son pays d'origine, qu’elle a quitté il y a environ 7 ans, et disposera, dans l'éventualité où elle rencontrerait certaines difficultés à son retour, des moyens nécessaires pour les surmonter. Par ailleurs, le seul fait qu'elle subvienne par son emploi en Suisse - exercé sans autorisation - aux besoins de sa famille ne saurait justifier la délivrance d'une autorisation de séjour. Rien n’indique en outre qu’elle ne disposerait pas des compétences nécessaires pour trouver un emploi en Colombie. Dans ces conditions, la réintégration de la recourante dans son pays d'origine n'apparaît pas insurmontable, étant rappelé que selon la jurisprudence, le seul fait que les conditions de vie usuelles dans le pays d'origine soient moins avantageuses que celles prévalant en Suisse ne saurait être considéré comme déterminant sous l'angle de la reconnaissance d'un cas de rigueur (TF 2C_754/2018 du 28 janvier 2019 consid. 6.3). c) En définitive, au regard de l'ensemble des circonstances du cas d'espèce, il convient de retenir que l'autorité intimée n'a pas excédé ni abusé de son pouvoir d'appréciation en considérant que la situation personnelle de la recourante ne justifie pas qu’il soit exceptionnellement dérogé aux conditions d’admission (art. 30 al. 1 let. b LEI et art. 31 OASA).</w:t>
      </w:r>
    </w:p>
    <w:p>
      <w:r>
        <w:rPr>
          <w:b/>
        </w:rPr>
        <w:t>E. 3</w:t>
      </w:r>
    </w:p>
    <w:p>
      <w:r>
        <w:t>Les considérants qui précèdent conduisent au rejet du recours et à la confirmation de la décision attaquée. La recourante, qui succombe, supportera les frais de justice (art. 49 al. 1, 91 et 99 LPA-VD). Il n'y a pas lieu d'allouer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