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PE.2021.0171 vom 29. Dezember 2021</w:t>
      </w:r>
    </w:p>
    <w:p>
      <w:r>
        <w:t>VD Tribunal cantonal, 2021-12-29, FR</w:t>
      </w:r>
    </w:p>
    <w:p>
      <w:r>
        <w:rPr>
          <w:b/>
        </w:rPr>
        <w:t xml:space="preserve">Quelle: </w:t>
      </w:r>
      <w:r>
        <w:t>https://mcp.opencaselaw.ch/entscheid/vd_omni_PE.2021.0171</w:t>
      </w:r>
    </w:p>
    <w:p>
      <w:r>
        <w:t>FR: VD_OMNI PE.2021.0171 du 29 décembre 2021</w:t>
      </w:r>
    </w:p>
    <w:p>
      <w:r>
        <w:t>IT: VD_OMNI PE.2021.0171 del 29 dicembre 2021</w:t>
      </w:r>
    </w:p>
    <w:p>
      <w:pPr>
        <w:pStyle w:val="Heading2"/>
      </w:pPr>
      <w:r>
        <w:t>Regeste</w:t>
      </w:r>
    </w:p>
    <w:p>
      <w:r>
        <w:t>A.________ et B.________ /Service de l'emploi Contrôle du marché du travail, Service de la population (SPOP) | Confirmation du refus du SDE de délivrer une autorisation de séjour en faveur d'une ressortissante d'un Etat tiers. La recourante a été engagée comme esthéticienne. Elle ne saurait être considérée comme un travailleur qualifié au sens où l’entend l’art. 23 al. 1 LEI, ni ne démontre qu’elle possède des connaissances particulières au sens de l’art. 23 al. 3 let. c LEI. La connaissance du russe n'est pas indispensable à l'activité d'esthéticienne, qui peut aisément être exercée en français, voire en anglais. En outre, il n'est pas démontré que son employeur ait entrepris, préalablement à l’engagement et au dépôt de la demande, des efforts de recherche en vue de trouver une esthéticienne sur le marché local. Rejet du recours. Recours au TF déclaré irrecevable (2C_140/2022 du 11 février 2022).</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notamment, de la loi fédérale du 16 décembre 2005 sur les étrangers et l’intégration (LEI; RS 142.20),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porte sur la question de savoir si l’autorité intimée a refusé à bon droit l’autorisation sollicitée par A.________ en faveur de C.________. a) A défaut d’accord entre la Suisse et le Kazakhstan sur la libre circulation des travailleurs, la question s’examine exclusivement au regard du droit interne, soit de la loi fédérale du 16 décembre 2005 sur les étrangers et l’intégration (LEI; RS 142.20). b) Selon l’art. 18 LEI, un étranger peut être admis en vue de l’exercice d’une activité lucrative salariée à condition que son admission serve les intérêts économiques du pays, que son employeur ait déposé une demande et que les conditions fixées aux art. 20 à 25 soient remplies. Aux termes de l’art. 21 al. 1 LEI, qui instaure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l’alinéa 2 de cette disposition, sont considérés comme travailleurs en Suisse les Suisses (let. a); les titulaires d’une autorisations d’établissement (let. b); les titulaires d’une autorisations de séjour qui ont le droit d’exercer une activité lucrative (let. c); les étrangers admis à titre provisoire (let. d) et les personnes auxquelles une protection provisoire a été octroyée et qui sont titulaires d’une autorisation d’exercer une activité lucrative (let. e). Les directives intitulées ‟Domaine des étrangers, Chapitre 4 Séjour avec activité lucrative (Directives LEI)” du Secrétariat d’Etat aux migrations (SEM; version d’octobre 2013, actualisée le 1 er novembre 2021) indiquent en particulier ce qui suit au sujet des efforts de recherches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(ch. 4.3.2.2). ”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arrêts de la CDAP PE.2019.0402 du 2 mars 2020 consid. 2a; PE.2019.0143 du 25 novembre 2019 consid. 2c et les références citées).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non plusieurs mois auparavant (PE.2017.0260 du 22 janvier 2018 consid. 3a et les références citées). c) Par ailleurs, conformément à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(Directives LEI, chif. 4.3.5). Quant à l’art. 23 al. 3 let. c LEI, il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(arrêt du TAF C-5420/2012 du 15 janvier 2014 consid. 8.3). d) En l’occurrence, C.________ a été engagée en qualité d'esthéticienne. Si ses qualifications professionnelles pour ce poste ne sont pas remises en cause, elles ne correspondent toutefois pas aux exigences posées par l'art. 23 al. 1 LEtr. A la lecture de son curriculum vitae produit au dossier, il apparaît qu'elle est titulaire d'un diplôme d'esthéticienne obtenu auprès d'une école privée à Lausanne, mais qu'elle ne dispose pas en revanche de CFC. Son expérience professionnelle se limite à un stage auprès de la recourante. Il en découle que l'intéressée ne saurait être considérée comme une cadre, spécialiste ou autre travailleuse qualifiée visées par l'art. 23 al. 1 LEI: on ne saurait en effet lui reconnaître un statut de main d'œuvre très qualifiée, ayant des connaissances spéciales. La recourante met en avant comme qualification essentielle du poste en cause la connaissance de la langue russe compte tenu en particulier d'une large clientèle russophone. Se pose dès lors la question de savoir si elle peut être admise en dérogation, en tant que personne possédant des connaissances ou des capacités professionnelles particulières, et si, dans cette hypothèse, son admission répond de manière avérée à un besoin, conformément à l'art. 23 al. 3 let. c LEI. Tel n'est toutefois pas le cas. Il n'apparaît en effet pas qu'il soit indispensable, pour que l'entreprise puisse se développer, que l'intéressée obtienne un permis de séjour en Suisse pour y travailler. Même si la connaissance du russe peut présenter un atout dans l'acquisition et la fidélisation de clients russes, elle n'est pas indispensable à l'activité d'esthéticienne, qui peut aisément être exercée en français, voire en anglais. e) En l'espèce, il convient encore de relever que la société n'a effectué de recherche que par deux annonces auprès de l'ORP les 22 juillet et 16 août 2021. Puisque les démarches auprès de l'ORP ne portaient pas leurs fruits, il appartenait à la recourante d'élargir son champ de recherches. En ne faisant état d'aucune autre démarche concrète en vue de trouver du personnel, au moyen d'annonces dans la presse, auprès d'agences de placement privées ou sur des sites Internet de recherches d'emploi comme on aurait pu s'y attendre, elle ne satisfait à l'évidence pas à son obligation de recherches sur le marché du travail indigène. A l'instar de l'autorité intimée, il faut encore constater que les seules recherches effectuées sont centrées sur des qualifications, en particulier le niveau B2 (niveau avancé ou indépendant) en russe, qui ne sont pas pertinentes pour le poste en question. Il y a en outre lieu de considérer qu'il n'existe pas de difficulté véritable pour recruter sur le marché suisse du travail un travailleur indigène ou ressortissant d'un Etat membre de l'Union européenne ou de l'AELE présentant les qualifications professionnelles requises pour le poste en question. En réalité, dans ces conditions, la recourante paraît avoir eu la volonté d'engager C.________, par pure convenance personnelle. Dans ces circonstances, les exigences posées par l'art. 21 al. 1 LEI ne sont pas remplies et la recourante ne peut par conséquent en l'état pas prétendre à une autorisation de séjour avec activité lucrative fondée sur les art. 18 ss LEI. Il appert ainsi que l’autorité intimée n’a nullement abusé de son pouvoir d’appréciation en refusant de donner une suite positive à la demande dont elle a été saisie en la présente espèce.</w:t>
      </w:r>
    </w:p>
    <w:p>
      <w:r>
        <w:rPr>
          <w:b/>
        </w:rPr>
        <w:t>E. 3</w:t>
      </w:r>
    </w:p>
    <w:p>
      <w:r>
        <w:t>En définitive, le recours, manifestement mal fondé, doit être rejeté selon la procédure simplifiée de l’art. 82 LPA-VD et la décision attaquée confirmée. Le présent arrêt sera rendu sans frais, bien que les recourantes succombent (art.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