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PE.2021.0080 vom 23. November 2021</w:t>
      </w:r>
    </w:p>
    <w:p>
      <w:r>
        <w:t>VD Tribunal cantonal, 2021-11-23, FR</w:t>
      </w:r>
    </w:p>
    <w:p>
      <w:r>
        <w:rPr>
          <w:b/>
        </w:rPr>
        <w:t xml:space="preserve">Quelle: </w:t>
      </w:r>
      <w:r>
        <w:t>https://mcp.opencaselaw.ch/entscheid/vd_omni_PE.2021.0080</w:t>
      </w:r>
    </w:p>
    <w:p>
      <w:r>
        <w:t>FR: VD_OMNI PE.2021.0080 du 23 novembre 2021</w:t>
      </w:r>
    </w:p>
    <w:p>
      <w:r>
        <w:t>IT: VD_OMNI PE.2021.0080 del 23 novembre 2021</w:t>
      </w:r>
    </w:p>
    <w:p>
      <w:pPr>
        <w:pStyle w:val="Heading2"/>
      </w:pPr>
      <w:r>
        <w:t>Regeste</w:t>
      </w:r>
    </w:p>
    <w:p>
      <w:r>
        <w:t>A.________ /Service de la population (SPOP) | Ressortissante kosovare mise au bénéfice d'une autorisation de séjour à la suite de son mariage en 2017 avec un citoyen suisse. Séparation des époux en 2020, suivie de l'ouverture d'une procédure de divorce en 2021. Recours de l'intéressée contre la décision du SPOP refusant de prolonger son autorisation de séjour et prononçant son renvoi de Suisse. Les conditions légales auxquelles l'autorisation de séjour peut être prolongée après la dissolution de l'union conjugale ne sont pas réalisées. D'une part, la vie commune des conjoints n'a pas atteint la duré minimale de trois ans prévue par l'art. 50 al. 1 let. a LEI. D'autre part, la recourante échoue à établir que la poursuite de son séjour en Suisse s'imposerait pour des raisons personnelles majeures au sens de l'art. 50 al. 1 let. b et al. 2 LEI, voire si elle pourrait être justifiée par la reconnaissance d'un cas de rigueur en application de l'art. 30 al. 1 let. b LEI; en particulier, la relation que l'intéressée entretient avec un nouveau concubin depuis quelques mois n'est pas déterminante. La recourante ne peut pas non plus se prévaloir du droit au respect de la vie privée et de la vie familiale garanti par l'art. 8 CEDH. Rejet du recours et confirmation de la décision attaquée. Recours au TF rejeté (2C_9/2022 du 9 février 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d'une autorisation de séjour et le renvoi de Suisse de l'intéressée;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b) En l'occurrence, sur la base d'une appréciation anticipée des preuves, le tribunal considère qu'il n'y a pas lieu de donner suite à la réquisition de la recourante, les faits résultant des pièces produites au dossier permettant de trancher la cause en l'état. Il sied de relever encore que, dans le cadre de l'instruction du présent recours, la recourante a eu la faculté de s'exprimer sur l'ensemble des faits de la cause ainsi que de développer ses motifs de recours et moyens juridiques, et de produire des pièces. S'agissant plus particulièrement de la procédure de divorce sur requête commune avec accord complet des époux, on ne voit pas quels renseignements supplémentaires déterminants l'audition du mari de la recourante pourrait apporter.</w:t>
      </w:r>
    </w:p>
    <w:p>
      <w:r>
        <w:rPr>
          <w:b/>
        </w:rPr>
        <w:t>E. 3</w:t>
      </w:r>
    </w:p>
    <w:p>
      <w:r>
        <w:t>Sont litigieux le refus de prolonger l'autorisation de séjour de la recourante ainsi que le renvoi de cette dernière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ressortissante kosovare, la recourante ne peut se prévaloir d'aucun traité que la Suisse aurait conclu avec son pays d'origine. Le recours s'examine par conséquent principalement au regard du droit interne, soit essentiellement de la loi fédérale sur les étrangers et l'intégration du 16 décembre 2005 (LEI; RS 142.20) , cela sous réserve de la Convention de sauvegarde des droits de l'homme et des libertés fondamentales du 4 novembre 1950 (CEDH; RS 0.101) . b)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Tribunal fédéral [TF], arrêts 2C_706/2020 du 14 janvier 2021 consid. 4.1;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113 consid. 3.2 in fine et 3.3). Cette limite de 36 mois est absolue et ne peut être assouplie, même de quelques jours (TF 2C_594/2010 du 24 novembre 2010 consid.</w:t>
      </w:r>
    </w:p>
    <w:p>
      <w:r>
        <w:rPr>
          <w:b/>
        </w:rPr>
        <w:t>E. 3.1</w:t>
      </w:r>
    </w:p>
    <w:p>
      <w:r>
        <w:t>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Selon l'art. 58 a al. 1 LEI auquel se réfère la let. a de l'art. 50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d) Il y a lieu de relever en outre que l'art. 30 al. 1 let. b LEI – en relation avec l'art. 31 de l'ordonnance fédérale du 24 octobre 2007 relative à l'admission, au séjour et à l'exercice d'une activité lucrative (OASA; RS 142.201) – prévoit qu'il est possible de déroger aux conditions d'admission des étrangers (art. 18 à 29 LEI) notamment dans le but de tenir compte des cas individuels d'extrême gravité. Ainsi, aux termes de l'art. 31 al. 1 OASA, une autorisation de séjour peut être octroyée dans les cas individuels d'extrême gravité; lors de l'appréciation, il convient de tenir compte notamment de l'intégration du requérant sur la base des critères d'intégration définis à l'art. 58 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L'art. 30 al. 1 let. b LEI diffère de l'art. 50 LEI en ce sens que ce dernier confère un droit au renouvellement du titre de séjour aux personnes concernées par un cas de rigueur post-mariage, alors que l'art. 30 al. 1 let. b LEI n'a pour effet que de laisser aux autorités une marge d'appréciation pour déroger aux conditions légales d'admission des étrangers dans l'analyse du cas individuel à laquelle elles procèdent (ATF 138 II 393 consid. 3.1; 137 II 345 consid. 3.2.1; TF 2C_367/2016 du 16 juin 2016 consid. 2 et les références citées). Selon la jurisprudence rendue en application de l'art. 13 let. f de l'ancienne ordonnance du 6 octobre 1986 limitant le nombre des étrangers [aOLE] – qui demeure applicable sous l'empire de l'art. 30 al. 1 let. b LEI (ATF 136 I 254 consid. 5.3.1) –, les conditions à la reconnaissance d'un cas individuel d'extrême gravité (ou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arrêts PE.2020.0044 du 11 août 2020 consid. 6c et réf. cit.; PE.2018.0361 du 31 janvier 2019 consid. 4c et réf. cit.).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cf. not. CDAP PE.2015.0206 du 26 octobre 2015 consid. 2b et la référence).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réf. cit.; PE.2018.0373 du 31 janvier 2019 consid. 2a et réf. cit.).</w:t>
      </w:r>
    </w:p>
    <w:p>
      <w:r>
        <w:rPr>
          <w:b/>
        </w:rPr>
        <w:t>E. 4</w:t>
      </w:r>
    </w:p>
    <w:p>
      <w:r>
        <w:t>a) En l'espèce, il n'est pas contesté que la recourante a épousé son fiancé le 24 novembre 2017 et que les époux vivent séparés depuis le 1 er avril 2020. La durée de cette union conjugale s'avère par conséquent inférieure au délai de trois ans prévu par l'art. 50 al. 1 let. a LEI. La recourante allègue qu'elle a vécu un certain temps en ménage commun avec son futur époux avant de se marier; elle soutient que cette période de vie commune devrait être prise en compte dans le calcul de la durée de l'union conjugale. La recourante perd cependant de vue la jurisprudence constante du Tribunal fédéral, qui est claire à ce sujet : la limite de trois ans se calcule en fonction de la durée pendant laquelle les époux ont fait ménage commun en Suisse (TF 2C_494/2020 du 1 er septembre 2021 consid. 3.2; 2C_654/2020 du 18 février 2021 consid. 3.1 et les arrêts cités; 2C_841/2019 du 11 octobre 2019 consid. 5; ATF 136 II 113); l'éventuelle cohabitation des futurs époux avant le mariage n'est donc pas prise en compte dans la durée de l'union conjugale (TF 2C_110/2021 du 12 mars 2021 consid. 4.3; 2C_429/2013 du 12 juillet 2013 consid. 4.3; 2C_594/2010 du 24 novembre 2010 consid. 3.1). Partant, la période de ménage commun dont la recourante fait état ne peut pas être prise en considération, puisque l'intéressée n'avait pas encore épousé son fiancé. Dès lors que la durée de l'union conjugale n'a pas atteint le minimum de trois ans requis par la loi, il n'y a pas lieu d'examiner si la condition – cumulative – de l'intégration réussie de la recourante est réalisée. b) Il reste à déterminer si la poursuite du séjour de la recourante en Suisse doit s'imposer pour des raisons personnelles majeures au sens de l'art. 50 al. 1 let. b LEI, voire si elle pourrait être justifiée par la reconnaissance d'un cas de rigueur en application de l'art. 30 al. 1 let. b LEI. En l'occurrence, la recourante ne fait pas état de violences conjugales à son encontre; il n'y a dès lors pas lieu de s'y arrêter. Elle soutient en revanche qu'une réintégration sociale dans son pays d'origine ne serait pas envisageable. A cet égard, elle fait valoir qu'elle vit depuis 10 ans en Suisse, pays dans lequel elle s'est très bien intégrée et où se trouvent toutes ses relations sociales, personnelles et professionnelles. Elle relève en outre qu'elle bénéficie d'un travail stable et qu'elle subvient ainsi à ses besoins. Enfin, elle indique qu'elle n'a plus que des relations très éloignées avec son pays d'origine. Bien que la recourante soit présente en Suisse depuis le 1 er août 2011 sans discontinuer selon ses déclarations, il apparaît toutefois qu'au moment de la décision attaquée, elle n'avait vécu dans le pays de manière légale, c'est-à-dire au bénéfice d'un titre formel l'autorisant à y séjourner et y travailler, que pendant une période d'un peu moins de cinq ans au total, durée qui, si elle n'est pas négligeable, ne saurait cependant être considérée comme particulièrement longue. Le reste du temps que l'intéressée aurait passé en Suisse (de 2012 au 29 septembre 2017) ne peut être pris en compte sous l'angle du cas de rigueur, conformément à la jurisprudence rappelée plus haut, dans la mesure où il s'agit d'un séjour illégal. A cet égard, il convient d'ailleurs de relever que la recourante ne saurait se prévaloir de respecter l'ordre juridique suisse : à ses dires, elle est en effet demeurée illicitement dans le pays durant des années après que l'autorisation de séjour qui lui avait été initialement délivrée soit arrivée à échéance. Pour le reste, s'il n'est certes pas contesté que la recourante a trouvé un travail et qu'elle n'a jamais émargé à l'aide sociale ni fait l'objet de poursuites ou occupé les autorités pénales, il y a cependant lieu de rappeler que, si une inscription au casier judiciaire ou des actes de poursuites sont des éléments plaidant à l'encontre de la personne concernée, leur absence ne conduit pas en soi à admettre une intégration particulièrement remarquable (Tribunal administratif fédéral [TAF], arrêt C-757/2010 du 15 novembre 2011 consid. 7.3; CDAP PE.2018.0446 du 5 février 2019 consid. 4b; PE.2015.0213 du 24 novembre 2015 consid. 2e; PE.2015.0114 du 5 octobre 2015 consid. 5b). La recourante est certes engagée comme nettoyeuse à temps complet depuis le 3 janvier 2018. L'existence d'une activité professionnelle en Suisse ne suffit toutefois pas à elle seule à constituer des raisons personnelles majeures. Par ailleurs, sur le plan social, la recourante n'établit pas, ni même n'allègue, qu'elle se serait particulièrement investie dans la vie associative ou culturelle locale. Dans ces circonstances, son intégration sociale peut être qualifiée au mieux de normale, soit comparable aux relations sociales ordinaires d'amitié, de travail, de voisinage, que tout un chacun est amené à tisser lors d'un séjour d'une certaine durée dans un lieu donné. La recourante, qui n'a pas d'enfant, est en instance de divorce d'avec son époux depuis le 10 mai 2021. Elle fait état de son intention d'épouser un ressortissant kosovar titulaire d'une autorisation de séjour en Suisse, dès que son divorce aura été prononcé, ce qui constituerait son intérêt à demeurer en Suisse. Si la recourante n'a pas indiqué quand avait débuté cette relation, il s'impose néanmoins de constater que celle-ci ne dure que depuis quelques mois tout au plus, dans la mesure où, lorsqu'elle a été entendue par les représentants du SPOP le 26 janvier 2021, l'intéressée avait déclaré n'avoir "pas refait sa vie amoureuse" (cf. procès-verbal d'audition, réponse à la question n° 30). Or, une si courte durée ne permet en principe pas de présumer de l'existence d'une relation stable, dont l'intensité ne ressort du reste pas des éléments au dossier dans le cas présent. En outre, le couple n'attend pas d'enfant. Cela étant, ces circonstances ne suffisent pas à justifier le maintien de l'autorisation de séjour de la recourante. Par ailleurs, l'octroi d'une autorisation de séjour de durée limitée en vue de préparer le mariage des concubins n'entre pas non plus en considération. En effet, on ne peut escompter en l'état que ce mariage aura lieu dans un délai raisonnable, aucune démarche préparatoire en vue de cette union ne pouvant être entreprise aussi longtemps que le divorce de la recourante avec son époux actuel n'aura pas été prononcé. Or, à ce jour, la recourante n'a pas produit d'élément attestant que la procédure de divorce aurait abouti. Dans ces conditions, il peut être exigé de la recourante qu'elle vive la relation avec son concubin, qui est de la même nationalité qu'elle, à l'étranger ou dans le cadre de séjours touristiques non soumis à autorisation, dans l'attente de l'évolution de sa situation sur le plan de l'Etat civil. Agée de 33 ans, la recourante est encore jeune et en bonne santé (à tout le moins, le contraire n'est-il nullement établi), et elle ne devrait pas rencontrer de difficultés insurmontables en cas de retour dans son pays d'origine, où elle est née et a vécu avant de venir en Suisse en 2011. Quoi qu'elle en dise, elle y a nécessairement tissé non seulement des attaches familiales, mais encore sociales et culturelles importantes, propres à faciliter sa réintégration. Elle pourra en outre aisément y créer de nouveaux liens dans la mesure où elle parle la langue du pays et en connaît la culture. Certes, il n'est pas contesté que la situation économique et sociale au Kosovo est moins avantageuse qu'en Suisse. Toutefois, cela ne place pas la recourante dans une situation plus défavorable que celle de ses compatriotes restés au pays ou appelés à y rentrer au terme d'un séjour en Suisse. Elle ne devrait notamment pas rencontrer plus de difficultés que ceux-ci pour y trouver du travail et un logement. Il n'apparaît dès lors pas que sa réintégration dans son pays d'origine serait fortement compromise. Au regard de ce qui précède, il n'apparaît pas que la situation personnelle de la recourante serait telle qu'elle imposerait la poursuite de son séjour en Suisse. c) Dans ces circonstances, il convient de constater que l'autorité intimée n'a pas abusé de son pouvoir d'appréciation en considérant que la recourante ne pouvait tirer aucun droit de l'art. 50 al. 1 et 2 LEI, et qu'elle ne se trouvait pas dans une situation personnelle justifiant une exception aux conditions d'admission au sens de l'art. 30 al. 1 let. b LEI.</w:t>
      </w:r>
    </w:p>
    <w:p>
      <w:r>
        <w:rPr>
          <w:b/>
        </w:rPr>
        <w:t>E. 5</w:t>
      </w:r>
    </w:p>
    <w:p>
      <w:r>
        <w:t>La recourante invoque encore l'art. 8 CEDH, qui garantit à toute personne le droit au respect de sa vie privée et familiale. a) aa) Selon une jurisprudence constante, cette disposition ne confère pas un droit inconditionnel à une autorisation (ATF 144 I 266 consid. 3.2; 140 I 145 consid. 3.1; TF 2C_330/2018 du 27 mai 2019 consid. 3.1; CDAP PE.2018.0342 du 12 juillet 2019 consid. 4b). Un étranger peut néanmoins, selon les circonstances, se prévaloir de l'art. 8 par. 1 CEDH (et de l'art. 13 Cst.)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nucléaire, soit celles qui existent entre époux ainsi qu'entre parents et enfants mineurs vivant en ménage commun (ATF 135 I 143 consid. 1.3.2). Sous réserve de circonstances particulières, les concubins ne sont donc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(TF 2C_389/2017 du 10 janvier 2018 consid. 5.1 et les références citées).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pas non plus été retenue dans le cas d'un couple vivant ensemble depuis trois ans, en l'absence de projet de mariage et d'enfant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La CDAP a pour sa part jugé qu'une cohabitation de deux ans n'était pas suffisante (PE.2013.0048 du 29 avril 2013 consid. 2c/dd; PE.2010.0103 du 4 novembre 2010 consid. 2c; PE.2008.0420 du 9 septembre 2009 consid. 4c). bb) En l'espèce, comme on l'a vu au considérant 4b ci-dessus, la relation entre la recourante et son nouveau concubin n'existe que depuis quelques mois tout au plus; or, cette durée s'avère insuffisante au regard des circonstances pour permettre de retenir l'existence d'une relation stable au sens de l'art. 8 CEDH et de la jurisprudence . En outre, le mariage des intéressés n'est pas imminent et n'apparaît pas non plus envisageable dans un délai proche, aucune procédure préparatoire de mariage n'étant actuellement en cours . Par ailleurs, le couple n'élève pas d'enfant ensemble. Dans ces conditions, les concubins ne sont pas habilités à invoquer la protection de l'art. 8 CEDH. b) aa) Il reste à examiner si la recourante peut se prévaloir de la protection conférée par l'art. 8 CEDH sous l'angle étroit de la vie privée. Un étranger peut en effet, selon les circonstances, invoquer cette disposition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2C_812/2017 du 30 janvier 2018 consid. 5; 2C_191/2015 du 12 juin 2015 consid. 6.2). La jurisprudence fédérale dans ce domaine a récemment évolué. Dans l'ATF 144 I 266 et après avoir rappelé la position de la Cour européenne des droits de l'homme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bb) En l'espèce, au moment où la décision attaquée a été rendue, la durée du séjour de la recourante en Suisse était inférieure à la limite de 10 ans posée par le Tribunal fédéral et qui permet de présumer, en principe, l'existence de liens étroits. De surcroît, la recourante n'a pas apporté la preuve stricte de la continuité de sa présence en Suisse, de sorte qu'un doute subsiste à ce sujet. Et même si sa résidence continue en Suisse était avérée, il n'en demeurerait pas moins que la moitié de ce séjour se serait déroulée en situation illégale (cf. consid. 4b ci-dessus). Partant, il est nécessaire de procéder à une pesée des intérêts et d'examiner si l'intégration de la recourante est à ce point réussie que la révocation de son autorisation de séjour porterait atteinte à sa vie privée, conformément à la jurisprudence rappelée ci-dessus. En l'occurrence, comme il ressort des motifs développés au considérant 4b ci-dessus, les liens sociaux et professionnels que la recourante entretient avec la Suisse ne peuvent être qualifiés de spécialement intenses, notablement supérieurs à ceux qui résultent d'une intégration ordinaire. Elle n'a pas développé de relations personnelles particulièrement dignes de protection, de sorte qu'on ne saurait considérer que ses attaches familiales et privées se trouvent en Suisse. Sa réintégration dans son pays d'origine, où elle a vécu la majeure partie de sa vie, n'est de plus pas compromise. Dans ces conditions, la pesée des intérêts en cause n'aboutit pas à un résultat différent. c) Pour les motifs qui précèdent, l'art. 8 CEDH ne peut pas non plus conférer à la recourante un droit à demeurer en Suisse et à obtenir une autorisation de séjour.</w:t>
      </w:r>
    </w:p>
    <w:p>
      <w:r>
        <w:rPr>
          <w:b/>
        </w:rPr>
        <w:t>E. 6</w:t>
      </w:r>
    </w:p>
    <w:p>
      <w:r>
        <w:t>L'autorisation de séjour de la recourante n'étant pas renouvelée, c'est à juste titre que l'autorité intimée a prononcé le renvoi de Suisse de l'intéressée (art. 64 al. 1 let. c LEI).</w:t>
      </w:r>
    </w:p>
    <w:p>
      <w:r>
        <w:rPr>
          <w:b/>
        </w:rPr>
        <w:t>E. 7</w:t>
      </w:r>
    </w:p>
    <w:p>
      <w:r>
        <w:t>Les considérants qui précèdent conduisent au rejet du recours et à la confirmation de la décision sur opposition attaquée. Vu l'issue du pourvoi, le SPOP est chargé de fixer un nouveau délai de départ à la recourante et de veiller à l'exécution de sa décision.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