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PE.2021.0066 vom 1. April 2022</w:t>
      </w:r>
    </w:p>
    <w:p>
      <w:r>
        <w:t>VD Tribunal cantonal, 2022-04-01, FR</w:t>
      </w:r>
    </w:p>
    <w:p>
      <w:r>
        <w:rPr>
          <w:b/>
        </w:rPr>
        <w:t xml:space="preserve">Quelle: </w:t>
      </w:r>
      <w:r>
        <w:t>https://mcp.opencaselaw.ch/entscheid/vd_omni_PE.2021.0066</w:t>
      </w:r>
    </w:p>
    <w:p>
      <w:r>
        <w:t>FR: VD_OMNI PE.2021.0066 du 1 avril 2022</w:t>
      </w:r>
    </w:p>
    <w:p>
      <w:r>
        <w:t>IT: VD_OMNI PE.2021.0066 del 1 aprile 2022</w:t>
      </w:r>
    </w:p>
    <w:p>
      <w:pPr>
        <w:pStyle w:val="Heading2"/>
      </w:pPr>
      <w:r>
        <w:t>Regeste</w:t>
      </w:r>
    </w:p>
    <w:p>
      <w:r>
        <w:t>A.________/Service de l'emploi Contrôle du marché du travail, Service de la population (SPOP) | Engagement d'une ressortissante colombienne en qualité d’aide-soignante et de personne de compagnie. Or, cette dernière ne remplit pas les conditions posées par le régime particulier dans le recrutement du personnel appelé à apporter des soins aux personnes handicapées. Le fait qu'un employeur souhaite engager en priorité un travailleur qu'il connaît et en qui il a pleine confiance relève de la pure convenance personnelle et n'est pas déterminant. Rejet du recours et confirmation de la décision de refus de l'autorisation préalable de travail.</w:t>
      </w:r>
    </w:p>
    <w:p>
      <w:pPr>
        <w:pStyle w:val="Heading2"/>
      </w:pPr>
      <w:r>
        <w:t>Erwägungen</w:t>
      </w:r>
    </w:p>
    <w:p>
      <w:r>
        <w:rPr>
          <w:b/>
        </w:rPr>
        <w:t>E. 1</w:t>
      </w:r>
    </w:p>
    <w:p>
      <w:r>
        <w:t>a) A teneur de l’art. 85 de la loi cantonale du 5 juillet 2005 sur l'emploi (LEmp; BLV 822.11), la loi sur la procédure administrative est applicable aux décisions rendues en application de la LEI ainsi qu'aux recours contre lesdites décisions. b) Interjeté en temps utile auprès de l'autorité compétente, le recours satisfait aux autres conditions formelles de recevabilité (cf. art. 79 de la loi cantonale du 28 octobre 2008 sur la procédure administrative [LPA-VD; BLV 173.36], applicable par renvoi de l'art. 99 LPA-VD).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En l’occurrence, le litige porte sur la question de savoir si c'est à bon droit que l'autorité intimée a refusé d'accorder une autorisation préalable de travail en faveur de C.________. Cette dernière est ressortissante d’un Etat avec lequel la Suisse n’est liée par aucune convention, de sorte que cette question doit être résolue au regard du droit interne exclusivement, soit la loi fédérale du 16 décembre 2005 sur les étrangers et l’intégration (LEI; RS 142.20) et ses ordonnances d’application.</w:t>
      </w:r>
    </w:p>
    <w:p>
      <w:r>
        <w:rPr>
          <w:b/>
        </w:rPr>
        <w:t>E. 3</w:t>
      </w:r>
    </w:p>
    <w:p>
      <w:r>
        <w:t>a)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Spescha/Antonia Kerland/Peter Bolzli, Handbuch zum Migrationsrecht, 4 e éd., Zurich 2020, p. 202;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(arrêts du Tribunal administratif fédéral C-5912/2011 du 25 août 2015 consid. 8.3; C-4989/2011 du 23 janvier 2013 consid. 4.3.1; C-8717/2010 du 8 juillet 2011 consid. 6.3). Concernant les efforts de recherche de l’employeur dans le cadre de l’art. 21 LEI, les Directives LEI prévoient en particulier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références citées). » En effet,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(ATAF C-5420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ATAF C-5184/2014 du 31 mars 2016 consid. 5.4.1, réf. citée ). dd) Pour ce qui a par ailleurs trait aux qualifications personnelles, les directives LEI stipulent que des exceptions au sens de l'art. 23 al. 3 LEI peuvent être admises dans certains cas en faveur du personnel de maison. S’il s’agit d’un nouvel engagement, le travailleur doit apporter la preuve qu’il possède une expérience spécifique de cinq ans au moins (ménage et garde d’enfants) et qu’il est au bénéfice d’une autorisation de séjour et de travail depuis cinq ans au moins dans l’un des Etats membres de l’UE/AELE (Directives LEI, ch. 4.7.15.2). c) S’agissant plus particulièrement de la prise en charge, à leur domicile, de personnes gravement handicapées, il est possible d’engager à titre exceptionnel du personnel soignant ressortissant de pays non-membres de l’UE/AELE, à condition qu’il satisfasse aux critères cumulatifs suivants (Directives LEI, ch. 4.7.15.5): «(…)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(cf. ch. 4.7.15.3);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 Selon la pratique du SEM, dans l'hypothèse où toutes les conditions cumulatives énumérées ci-dessus sont remplies, une autorisation préalable de travail pourrait être délivrée (v. sur ce point arrêt TAF C-1223/2006 du 26 novembre 2007 consid. 8.2.1 à propos de l’art. 8 al. 3 OLE). D'après la jurisprudence constante de la CDAP, il convient cependant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PE.2020.0219 du 8 juin 2021 consid. 2b; PE.2020.0105 du 18 septembre 2020 consid. 3d; PE.2018.0412 du 12 avril 2019 consid. 2b; PE.2014.0006 du 1 er juillet 2014 et les arrêts cités). Ainsi, le refus a été confirmé chaque fois qu’il est apparu que le poste décrit avait été créé de toutes pièces ou sur mesure pour le requérant (arrêts PE.2018.0151 du 13 juillet 2018;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v. s’agissant plus particulièrement du personnel de maison, arrêts PE.2017.0274 du 24 novembre 2017; PE.2017.0073 du 6 juillet 2017; PE.2016.0291 du 18 octobre 2016; PE.2014.0214 du 10 septembre 2014). Plus récemment, a été confirmé le refus de préaviser favorablement la délivrance d’une autorisation de séjour et de travail en faveur d’une ressortissante irakienne, engagée comme employée de maison pour s’occuper de l’épouse, elle-même suissesse d’origine irakienne, atteinte dans sa santé; il n'a pas été démontré que la candidate à l’engagement ait suivi une formation de deux ans au moins dans le domaine des soins, d’une part, et qu’elle pouvait se prévaloir d’une expérience professionnelle attestée de deux ans au moins dans la prise en charge et soins auprès de personnes handicapées, ou ayant besoin de soins, d’autre part. En outre, il est apparu que les employeurs avaient pris la décision de l'engager avant même la publication des annonces qu'ils ont fait paraître, lesquelles étaient au surplus adaptées à son profil (cf. arrêt PE.2018.0151 du 23 juillet 2018, déjà cité; dans le même sens, arrêt PE.2018.0391 du 30 novembre 2018, s’agissant d’un "proche aidant").</w:t>
      </w:r>
    </w:p>
    <w:p>
      <w:r>
        <w:rPr>
          <w:b/>
        </w:rPr>
        <w:t>E. 4</w:t>
      </w:r>
    </w:p>
    <w:p>
      <w:r>
        <w:t>En la présente espèce, C.________ ne remplit pas les conditions posées par le SEM, s’agissant du régime particulier dans le recrutement du personnel appelé à apporter des soins aux personnes handicapées, emploi auquel celui que le recourant souhaite lui confier doit être assimilé. a) En admettant tout d’abord que l’intéressée soit engagée non seulement comme employée de maison, mais en qualité de personnel soignant au service du recourant, il ne ressort pas des pièces produites, ni de son curriculum vitae, qu’elle ait suivi une formation de deux ans au moins dans le domaine des soins, d’une part, et qu’elle puisse se prévaloir d’une expérience professionnelle attestée de deux ans au moins dans la prise en charge et soins auprès de personnes handicapées, ou ayant besoin de soins, d’autre part. Sans doute, C.________ est titulaire d’un diplôme de pharmacienne dans son pays, ainsi que d’un certificat d’infirmière auxiliaire. L’octroi d’une autorisation requiert en général un diplôme reconnu dans le domaine des soins et une expérience pratique de deux ans sous surveillance professionnelle (cf. Directives LEI, ch. 4.7.15.5). On peut laisser indécis le point de savoir si cette condition est remplie in casu. b) En outre et surtout, C.________ est entrée en Suisse et y séjourne depuis plus de trois ans sans autorisation; elle y a par ailleurs travaillé, toujours sans la moindre autorisation. On relève que, par décision du 13 décembre 2021, le SPOP a refusé de délivrer une autorisation de séjour en sa faveur et lui a enjoint de quitter la Suisse. C.________ n’a ni prouvé, ni même allégué avoir résidé depuis deux ans au moins de manière régulière dans l’un des pays membres de l’UE/AELE avant d’entrer en Suisse. c) A cela s’ajoute que ce n’est que postérieurement au dépôt de la demande que le recourant a entrepris des démarches en vue de recruter un ou une candidate sur le marché du travail local. Sans doute, celles-ci ont échoué mais l’art. 21 LEI implique que les recherches d'un candidat soient, en cas d'insuccès sur le marché indigène, étendues aux pays traditionnels de recrutement. On relève par ailleurs qu’un contrat de travail avec C.________ avait déjà été conclu lorsque ces démarches ont été entreprises. Or, il convient d'observer sur ce point que le fait qu'un employeur souhaite engager en priorité un travailleur qu'il connaît et en qui il a pleine confiance relève de la pure convenance personnelle et n'est pas déterminant. d) Quand bien même les circonstances d’espèce sont d’autant moins dénuées d’intérêt que l’état de santé du recourant semble s’être amélioré, il n’en demeure pas moins que les conditions lui permettant d’engager C.________ à son service ne sont pas remplies. Il en résulte que la décision attaquée ne relève pas d’un abus de la part de l’autorité intimée dans l’exercice de son pouvoir d’appréciation.</w:t>
      </w:r>
    </w:p>
    <w:p>
      <w:r>
        <w:rPr>
          <w:b/>
        </w:rPr>
        <w:t>E. 5</w:t>
      </w:r>
    </w:p>
    <w:p>
      <w:r>
        <w:t>Les considérants qui précèdent conduisent par conséquent au rejet du recours et à la confirmation de la décision attaquée. Le sort du recours commande que le recourant en supporte les frais (cf. art. 49 al. 1, 91 et 99 LPA-VD). Pour le même motif,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